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90" w:rsidRDefault="00A26090" w:rsidP="00CA2E3F">
      <w:pPr>
        <w:pBdr>
          <w:bottom w:val="single" w:sz="12" w:space="1" w:color="auto"/>
        </w:pBdr>
        <w:rPr>
          <w:b/>
        </w:rPr>
      </w:pPr>
      <w:r w:rsidRPr="006D11CD">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A26090" w:rsidRDefault="00A26090" w:rsidP="008A7DCE">
      <w:pPr>
        <w:pStyle w:val="Title"/>
        <w:rPr>
          <w:rFonts w:cs="Arial"/>
          <w:szCs w:val="22"/>
          <w:lang w:val="en-GB"/>
        </w:rPr>
      </w:pPr>
    </w:p>
    <w:p w:rsidR="00A26090" w:rsidRPr="0095517A" w:rsidRDefault="00A26090" w:rsidP="008A7DCE">
      <w:pPr>
        <w:pStyle w:val="Title"/>
        <w:rPr>
          <w:rFonts w:cs="Arial"/>
          <w:szCs w:val="22"/>
          <w:lang w:val="en-GB"/>
        </w:rPr>
      </w:pPr>
      <w:r w:rsidRPr="0095517A">
        <w:rPr>
          <w:rFonts w:cs="Arial"/>
          <w:szCs w:val="22"/>
          <w:lang w:val="en-GB"/>
        </w:rPr>
        <w:t>NATIONAL ASSEMBLY</w:t>
      </w:r>
    </w:p>
    <w:p w:rsidR="00A26090" w:rsidRPr="0095517A" w:rsidRDefault="00A26090" w:rsidP="008A7DCE">
      <w:pPr>
        <w:pStyle w:val="Title"/>
        <w:jc w:val="both"/>
        <w:rPr>
          <w:rFonts w:cs="Arial"/>
          <w:szCs w:val="22"/>
          <w:lang w:val="en-GB"/>
        </w:rPr>
      </w:pPr>
    </w:p>
    <w:p w:rsidR="00A26090" w:rsidRPr="0095517A" w:rsidRDefault="00A26090"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A26090" w:rsidRPr="0095517A" w:rsidRDefault="00A26090" w:rsidP="008A7DCE">
      <w:pPr>
        <w:jc w:val="both"/>
        <w:rPr>
          <w:rFonts w:ascii="Arial" w:hAnsi="Arial" w:cs="Arial"/>
          <w:b/>
          <w:sz w:val="22"/>
          <w:szCs w:val="22"/>
          <w:u w:val="single"/>
        </w:rPr>
      </w:pPr>
    </w:p>
    <w:p w:rsidR="00A26090" w:rsidRPr="0095517A" w:rsidRDefault="00A26090"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3063</w:t>
      </w:r>
    </w:p>
    <w:p w:rsidR="00A26090" w:rsidRPr="0095517A" w:rsidRDefault="00A26090" w:rsidP="008A7DCE">
      <w:pPr>
        <w:jc w:val="both"/>
        <w:rPr>
          <w:rFonts w:ascii="Arial" w:hAnsi="Arial" w:cs="Arial"/>
          <w:b/>
          <w:sz w:val="22"/>
          <w:szCs w:val="22"/>
          <w:u w:val="single"/>
        </w:rPr>
      </w:pPr>
    </w:p>
    <w:p w:rsidR="00A26090" w:rsidRPr="0095517A" w:rsidRDefault="00A26090"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21 AUGUST 2015</w:t>
      </w:r>
    </w:p>
    <w:p w:rsidR="00A26090" w:rsidRDefault="00A26090"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32</w:t>
      </w:r>
      <w:r w:rsidRPr="0095517A">
        <w:rPr>
          <w:rFonts w:ascii="Arial" w:hAnsi="Arial" w:cs="Arial"/>
          <w:b/>
          <w:sz w:val="22"/>
          <w:szCs w:val="22"/>
          <w:u w:val="single"/>
        </w:rPr>
        <w:t>)</w:t>
      </w:r>
    </w:p>
    <w:p w:rsidR="00A26090" w:rsidRDefault="00A26090" w:rsidP="00284F10">
      <w:pPr>
        <w:ind w:left="709" w:hanging="709"/>
        <w:jc w:val="both"/>
        <w:rPr>
          <w:b/>
          <w:lang w:val="en-ZA"/>
        </w:rPr>
      </w:pPr>
    </w:p>
    <w:p w:rsidR="00A26090" w:rsidRPr="00284F10" w:rsidRDefault="00A26090" w:rsidP="00284F10">
      <w:pPr>
        <w:ind w:left="709" w:hanging="709"/>
        <w:jc w:val="both"/>
        <w:rPr>
          <w:rFonts w:ascii="Arial" w:hAnsi="Arial" w:cs="Arial"/>
          <w:b/>
          <w:lang w:val="en-ZA"/>
        </w:rPr>
      </w:pPr>
      <w:r w:rsidRPr="00284F10">
        <w:rPr>
          <w:rFonts w:ascii="Arial" w:hAnsi="Arial" w:cs="Arial"/>
          <w:b/>
          <w:lang w:val="en-ZA"/>
        </w:rPr>
        <w:t>30</w:t>
      </w:r>
      <w:r>
        <w:rPr>
          <w:rFonts w:ascii="Arial" w:hAnsi="Arial" w:cs="Arial"/>
          <w:b/>
          <w:lang w:val="en-ZA"/>
        </w:rPr>
        <w:t>63</w:t>
      </w:r>
      <w:r w:rsidRPr="00284F10">
        <w:rPr>
          <w:rFonts w:ascii="Arial" w:hAnsi="Arial" w:cs="Arial"/>
          <w:b/>
          <w:lang w:val="en-ZA"/>
        </w:rPr>
        <w:t>.</w:t>
      </w:r>
      <w:r w:rsidRPr="00284F10">
        <w:rPr>
          <w:rFonts w:ascii="Arial" w:hAnsi="Arial" w:cs="Arial"/>
          <w:b/>
          <w:lang w:val="en-ZA"/>
        </w:rPr>
        <w:tab/>
        <w:t>Mr I M Ollis (DA) to ask the Minister of Water and Sanitation:</w:t>
      </w:r>
    </w:p>
    <w:p w:rsidR="00A26090" w:rsidRPr="00284F10" w:rsidRDefault="00A26090" w:rsidP="00BB0E8E">
      <w:pPr>
        <w:pStyle w:val="p0"/>
        <w:spacing w:before="100" w:beforeAutospacing="1" w:after="100" w:afterAutospacing="1"/>
        <w:ind w:left="709"/>
        <w:jc w:val="both"/>
        <w:rPr>
          <w:rFonts w:ascii="Arial" w:hAnsi="Arial" w:cs="Arial"/>
          <w:sz w:val="20"/>
        </w:rPr>
      </w:pPr>
      <w:r w:rsidRPr="00284F10">
        <w:rPr>
          <w:rFonts w:ascii="Arial" w:hAnsi="Arial" w:cs="Arial"/>
        </w:rPr>
        <w:t>(a) How does (i) her department and (ii) entities reporting to her define red tape and (b) what (i) specific interventions and/or (ii) systems have been implemented to (aa) identify and (bb) reduce red tape in (aaa) her department and (bbb) the entities reporting to her?</w:t>
      </w:r>
      <w:r w:rsidRPr="00284F10">
        <w:rPr>
          <w:rFonts w:ascii="Arial" w:hAnsi="Arial" w:cs="Arial"/>
        </w:rPr>
        <w:tab/>
      </w:r>
      <w:r w:rsidRPr="00284F10">
        <w:rPr>
          <w:rFonts w:ascii="Arial" w:hAnsi="Arial" w:cs="Arial"/>
        </w:rPr>
        <w:tab/>
      </w:r>
      <w:r w:rsidRPr="00284F10">
        <w:rPr>
          <w:rFonts w:ascii="Arial" w:hAnsi="Arial" w:cs="Arial"/>
        </w:rPr>
        <w:tab/>
      </w:r>
      <w:r w:rsidRPr="00284F10">
        <w:rPr>
          <w:rFonts w:ascii="Arial" w:hAnsi="Arial" w:cs="Arial"/>
        </w:rPr>
        <w:tab/>
      </w:r>
      <w:r w:rsidRPr="00284F10">
        <w:rPr>
          <w:rFonts w:ascii="Arial" w:hAnsi="Arial" w:cs="Arial"/>
        </w:rPr>
        <w:tab/>
      </w:r>
      <w:r w:rsidRPr="00284F10">
        <w:rPr>
          <w:rFonts w:ascii="Arial" w:hAnsi="Arial" w:cs="Arial"/>
        </w:rPr>
        <w:tab/>
      </w:r>
      <w:r>
        <w:rPr>
          <w:rFonts w:ascii="Arial" w:hAnsi="Arial" w:cs="Arial"/>
        </w:rPr>
        <w:tab/>
      </w:r>
      <w:r>
        <w:rPr>
          <w:rFonts w:ascii="Arial" w:hAnsi="Arial" w:cs="Arial"/>
        </w:rPr>
        <w:tab/>
      </w:r>
      <w:r>
        <w:rPr>
          <w:rFonts w:ascii="Arial" w:hAnsi="Arial" w:cs="Arial"/>
        </w:rPr>
        <w:tab/>
      </w:r>
      <w:r w:rsidRPr="00284F10">
        <w:rPr>
          <w:rFonts w:ascii="Arial" w:hAnsi="Arial" w:cs="Arial"/>
          <w:sz w:val="16"/>
          <w:szCs w:val="16"/>
        </w:rPr>
        <w:t>NW3604E</w:t>
      </w:r>
    </w:p>
    <w:p w:rsidR="00A26090" w:rsidRPr="00CC596F" w:rsidRDefault="00A26090" w:rsidP="00B22BFD">
      <w:pPr>
        <w:jc w:val="center"/>
        <w:rPr>
          <w:rFonts w:ascii="Arial" w:hAnsi="Arial" w:cs="Arial"/>
          <w:sz w:val="22"/>
          <w:szCs w:val="22"/>
        </w:rPr>
      </w:pPr>
      <w:r w:rsidRPr="00CC596F">
        <w:rPr>
          <w:rFonts w:ascii="Arial" w:hAnsi="Arial" w:cs="Arial"/>
          <w:sz w:val="22"/>
          <w:szCs w:val="22"/>
        </w:rPr>
        <w:t>---00O00---</w:t>
      </w:r>
    </w:p>
    <w:p w:rsidR="00A26090" w:rsidRDefault="00A26090" w:rsidP="00BB0E8E">
      <w:pPr>
        <w:tabs>
          <w:tab w:val="left" w:pos="6105"/>
        </w:tabs>
        <w:jc w:val="both"/>
        <w:rPr>
          <w:rFonts w:ascii="Arial" w:hAnsi="Arial" w:cs="Arial"/>
          <w:b/>
          <w:bCs/>
          <w:sz w:val="22"/>
          <w:szCs w:val="22"/>
        </w:rPr>
      </w:pPr>
      <w:r w:rsidRPr="0095517A">
        <w:rPr>
          <w:rFonts w:ascii="Arial" w:hAnsi="Arial" w:cs="Arial"/>
          <w:b/>
          <w:bCs/>
          <w:sz w:val="22"/>
          <w:szCs w:val="22"/>
        </w:rPr>
        <w:t>REPLY:</w:t>
      </w:r>
      <w:r>
        <w:rPr>
          <w:rFonts w:ascii="Arial" w:hAnsi="Arial" w:cs="Arial"/>
          <w:b/>
          <w:bCs/>
          <w:sz w:val="22"/>
          <w:szCs w:val="22"/>
        </w:rPr>
        <w:t xml:space="preserve">  </w:t>
      </w:r>
    </w:p>
    <w:p w:rsidR="00A26090" w:rsidRDefault="00A26090" w:rsidP="00BB0E8E">
      <w:pPr>
        <w:tabs>
          <w:tab w:val="left" w:pos="6105"/>
        </w:tabs>
        <w:jc w:val="both"/>
        <w:rPr>
          <w:rFonts w:ascii="Arial" w:hAnsi="Arial" w:cs="Arial"/>
          <w:b/>
          <w:bCs/>
          <w:sz w:val="22"/>
          <w:szCs w:val="22"/>
        </w:rPr>
      </w:pPr>
    </w:p>
    <w:p w:rsidR="00A26090" w:rsidRPr="00464677" w:rsidRDefault="00A26090" w:rsidP="0047697D">
      <w:pPr>
        <w:ind w:left="1418" w:hanging="425"/>
        <w:jc w:val="both"/>
        <w:rPr>
          <w:rFonts w:ascii="Arial" w:hAnsi="Arial" w:cs="Arial"/>
          <w:bCs/>
          <w:sz w:val="22"/>
          <w:szCs w:val="22"/>
        </w:rPr>
      </w:pPr>
      <w:r w:rsidRPr="00464677">
        <w:rPr>
          <w:rFonts w:ascii="Arial" w:hAnsi="Arial" w:cs="Arial"/>
          <w:bCs/>
          <w:sz w:val="22"/>
          <w:szCs w:val="22"/>
        </w:rPr>
        <w:t>(</w:t>
      </w:r>
      <w:r>
        <w:rPr>
          <w:rFonts w:ascii="Arial" w:hAnsi="Arial" w:cs="Arial"/>
          <w:bCs/>
          <w:sz w:val="22"/>
          <w:szCs w:val="22"/>
        </w:rPr>
        <w:t xml:space="preserve">a) </w:t>
      </w:r>
      <w:r>
        <w:rPr>
          <w:rFonts w:ascii="Arial" w:hAnsi="Arial" w:cs="Arial"/>
          <w:bCs/>
          <w:sz w:val="22"/>
          <w:szCs w:val="22"/>
        </w:rPr>
        <w:tab/>
      </w:r>
      <w:r>
        <w:rPr>
          <w:rFonts w:ascii="Arial" w:hAnsi="Arial" w:cs="Arial"/>
          <w:bCs/>
          <w:sz w:val="22"/>
          <w:szCs w:val="22"/>
        </w:rPr>
        <w:tab/>
        <w:t>My</w:t>
      </w:r>
      <w:r w:rsidRPr="00464677">
        <w:rPr>
          <w:rFonts w:ascii="Arial" w:hAnsi="Arial" w:cs="Arial"/>
          <w:bCs/>
          <w:sz w:val="22"/>
          <w:szCs w:val="22"/>
        </w:rPr>
        <w:t xml:space="preserve"> understanding of red tape is that it is bureaucratic delays in the administration </w:t>
      </w:r>
      <w:r>
        <w:rPr>
          <w:rFonts w:ascii="Arial" w:hAnsi="Arial" w:cs="Arial"/>
          <w:bCs/>
          <w:sz w:val="22"/>
          <w:szCs w:val="22"/>
        </w:rPr>
        <w:tab/>
      </w:r>
      <w:r w:rsidRPr="00464677">
        <w:rPr>
          <w:rFonts w:ascii="Arial" w:hAnsi="Arial" w:cs="Arial"/>
          <w:bCs/>
          <w:sz w:val="22"/>
          <w:szCs w:val="22"/>
        </w:rPr>
        <w:t>processes that impede and hamper service delivery.</w:t>
      </w:r>
      <w:r>
        <w:rPr>
          <w:rFonts w:ascii="Arial" w:hAnsi="Arial" w:cs="Arial"/>
          <w:bCs/>
          <w:sz w:val="22"/>
          <w:szCs w:val="22"/>
        </w:rPr>
        <w:t xml:space="preserve"> </w:t>
      </w:r>
      <w:r w:rsidRPr="00464677">
        <w:rPr>
          <w:rFonts w:ascii="Arial" w:hAnsi="Arial" w:cs="Arial"/>
          <w:bCs/>
          <w:sz w:val="22"/>
          <w:szCs w:val="22"/>
        </w:rPr>
        <w:t xml:space="preserve">We have simplified all business </w:t>
      </w:r>
      <w:r>
        <w:rPr>
          <w:rFonts w:ascii="Arial" w:hAnsi="Arial" w:cs="Arial"/>
          <w:bCs/>
          <w:sz w:val="22"/>
          <w:szCs w:val="22"/>
        </w:rPr>
        <w:tab/>
      </w:r>
      <w:r w:rsidRPr="00464677">
        <w:rPr>
          <w:rFonts w:ascii="Arial" w:hAnsi="Arial" w:cs="Arial"/>
          <w:bCs/>
          <w:sz w:val="22"/>
          <w:szCs w:val="22"/>
        </w:rPr>
        <w:t xml:space="preserve">processes for the work of </w:t>
      </w:r>
      <w:r>
        <w:rPr>
          <w:rFonts w:ascii="Arial" w:hAnsi="Arial" w:cs="Arial"/>
          <w:bCs/>
          <w:sz w:val="22"/>
          <w:szCs w:val="22"/>
        </w:rPr>
        <w:t>my</w:t>
      </w:r>
      <w:r w:rsidRPr="00464677">
        <w:rPr>
          <w:rFonts w:ascii="Arial" w:hAnsi="Arial" w:cs="Arial"/>
          <w:bCs/>
          <w:sz w:val="22"/>
          <w:szCs w:val="22"/>
        </w:rPr>
        <w:t xml:space="preserve"> Department in order to have swifter turnaround times</w:t>
      </w:r>
      <w:r>
        <w:rPr>
          <w:rFonts w:ascii="Arial" w:hAnsi="Arial" w:cs="Arial"/>
          <w:bCs/>
          <w:sz w:val="22"/>
          <w:szCs w:val="22"/>
        </w:rPr>
        <w:t xml:space="preserve"> for </w:t>
      </w:r>
      <w:r>
        <w:rPr>
          <w:rFonts w:ascii="Arial" w:hAnsi="Arial" w:cs="Arial"/>
          <w:bCs/>
          <w:sz w:val="22"/>
          <w:szCs w:val="22"/>
        </w:rPr>
        <w:tab/>
        <w:t>example, processing of water use licenses</w:t>
      </w:r>
      <w:r w:rsidRPr="00464677">
        <w:rPr>
          <w:rFonts w:ascii="Arial" w:hAnsi="Arial" w:cs="Arial"/>
          <w:bCs/>
          <w:sz w:val="22"/>
          <w:szCs w:val="22"/>
        </w:rPr>
        <w:t>.  We have reduced th</w:t>
      </w:r>
      <w:r>
        <w:rPr>
          <w:rFonts w:ascii="Arial" w:hAnsi="Arial" w:cs="Arial"/>
          <w:bCs/>
          <w:sz w:val="22"/>
          <w:szCs w:val="22"/>
        </w:rPr>
        <w:t xml:space="preserve">e turnaround times for decision </w:t>
      </w:r>
      <w:r w:rsidRPr="00464677">
        <w:rPr>
          <w:rFonts w:ascii="Arial" w:hAnsi="Arial" w:cs="Arial"/>
          <w:bCs/>
          <w:sz w:val="22"/>
          <w:szCs w:val="22"/>
        </w:rPr>
        <w:t xml:space="preserve">makers </w:t>
      </w:r>
      <w:r>
        <w:rPr>
          <w:rFonts w:ascii="Arial" w:hAnsi="Arial" w:cs="Arial"/>
          <w:bCs/>
          <w:sz w:val="22"/>
          <w:szCs w:val="22"/>
        </w:rPr>
        <w:t>with regards to</w:t>
      </w:r>
      <w:r w:rsidRPr="00464677">
        <w:rPr>
          <w:rFonts w:ascii="Arial" w:hAnsi="Arial" w:cs="Arial"/>
          <w:bCs/>
          <w:sz w:val="22"/>
          <w:szCs w:val="22"/>
        </w:rPr>
        <w:t xml:space="preserve"> Supply chain processes for bid evaluation and bid adjudication processes.</w:t>
      </w:r>
    </w:p>
    <w:p w:rsidR="00A26090" w:rsidRDefault="00A26090" w:rsidP="00BB0E8E">
      <w:pPr>
        <w:tabs>
          <w:tab w:val="left" w:pos="6105"/>
        </w:tabs>
        <w:jc w:val="both"/>
        <w:rPr>
          <w:rFonts w:ascii="Arial" w:hAnsi="Arial" w:cs="Arial"/>
          <w:b/>
          <w:bCs/>
          <w:sz w:val="22"/>
          <w:szCs w:val="22"/>
        </w:rPr>
      </w:pPr>
    </w:p>
    <w:p w:rsidR="00A26090" w:rsidRDefault="00A26090" w:rsidP="00B22BFD">
      <w:pPr>
        <w:tabs>
          <w:tab w:val="left" w:pos="709"/>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Refer below for response from Entities: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8"/>
        <w:gridCol w:w="1840"/>
        <w:gridCol w:w="6928"/>
      </w:tblGrid>
      <w:tr w:rsidR="00A26090" w:rsidTr="006D11CD">
        <w:tc>
          <w:tcPr>
            <w:tcW w:w="567" w:type="dxa"/>
          </w:tcPr>
          <w:p w:rsidR="00A26090" w:rsidRPr="006D11CD" w:rsidRDefault="00A26090" w:rsidP="006D11CD">
            <w:pPr>
              <w:tabs>
                <w:tab w:val="left" w:pos="6105"/>
              </w:tabs>
              <w:jc w:val="both"/>
              <w:rPr>
                <w:rFonts w:ascii="Arial" w:hAnsi="Arial" w:cs="Arial"/>
                <w:b/>
                <w:bCs/>
                <w:sz w:val="22"/>
                <w:szCs w:val="22"/>
              </w:rPr>
            </w:pPr>
            <w:r w:rsidRPr="006D11CD">
              <w:rPr>
                <w:rFonts w:ascii="Arial" w:hAnsi="Arial" w:cs="Arial"/>
                <w:b/>
                <w:bCs/>
                <w:sz w:val="22"/>
                <w:szCs w:val="22"/>
              </w:rPr>
              <w:t>NO.</w:t>
            </w:r>
          </w:p>
        </w:tc>
        <w:tc>
          <w:tcPr>
            <w:tcW w:w="1843" w:type="dxa"/>
          </w:tcPr>
          <w:p w:rsidR="00A26090" w:rsidRPr="006D11CD" w:rsidRDefault="00A26090" w:rsidP="006D11CD">
            <w:pPr>
              <w:tabs>
                <w:tab w:val="left" w:pos="6105"/>
              </w:tabs>
              <w:jc w:val="both"/>
              <w:rPr>
                <w:rFonts w:ascii="Arial" w:hAnsi="Arial" w:cs="Arial"/>
                <w:b/>
                <w:bCs/>
                <w:sz w:val="22"/>
                <w:szCs w:val="22"/>
              </w:rPr>
            </w:pPr>
            <w:r w:rsidRPr="006D11CD">
              <w:rPr>
                <w:rFonts w:ascii="Arial" w:hAnsi="Arial" w:cs="Arial"/>
                <w:b/>
                <w:bCs/>
                <w:sz w:val="22"/>
                <w:szCs w:val="22"/>
              </w:rPr>
              <w:t>NAME OF ENTITY</w:t>
            </w:r>
          </w:p>
        </w:tc>
        <w:tc>
          <w:tcPr>
            <w:tcW w:w="6966" w:type="dxa"/>
          </w:tcPr>
          <w:p w:rsidR="00A26090" w:rsidRPr="006D11CD" w:rsidRDefault="00A26090" w:rsidP="006D11CD">
            <w:pPr>
              <w:tabs>
                <w:tab w:val="left" w:pos="6105"/>
              </w:tabs>
              <w:jc w:val="both"/>
              <w:rPr>
                <w:rFonts w:ascii="Arial" w:hAnsi="Arial" w:cs="Arial"/>
                <w:b/>
                <w:bCs/>
                <w:sz w:val="22"/>
                <w:szCs w:val="22"/>
              </w:rPr>
            </w:pPr>
            <w:r w:rsidRPr="006D11CD">
              <w:rPr>
                <w:rFonts w:ascii="Arial" w:hAnsi="Arial" w:cs="Arial"/>
                <w:b/>
                <w:bCs/>
                <w:sz w:val="22"/>
                <w:szCs w:val="22"/>
              </w:rPr>
              <w:t xml:space="preserve">RESPONSE </w:t>
            </w:r>
          </w:p>
        </w:tc>
      </w:tr>
      <w:tr w:rsidR="00A26090" w:rsidTr="006D11CD">
        <w:tc>
          <w:tcPr>
            <w:tcW w:w="567"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1.</w:t>
            </w:r>
          </w:p>
        </w:tc>
        <w:tc>
          <w:tcPr>
            <w:tcW w:w="1843"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Amatola Water</w:t>
            </w:r>
          </w:p>
        </w:tc>
        <w:tc>
          <w:tcPr>
            <w:tcW w:w="6966" w:type="dxa"/>
          </w:tcPr>
          <w:p w:rsidR="00A26090" w:rsidRPr="006D11CD" w:rsidRDefault="00A26090" w:rsidP="006D11CD">
            <w:pPr>
              <w:tabs>
                <w:tab w:val="left" w:pos="6105"/>
              </w:tabs>
              <w:jc w:val="both"/>
              <w:rPr>
                <w:rStyle w:val="ssens"/>
                <w:rFonts w:ascii="Arial" w:hAnsi="Arial" w:cs="Arial"/>
                <w:b/>
                <w:bCs/>
                <w:sz w:val="22"/>
                <w:szCs w:val="22"/>
              </w:rPr>
            </w:pPr>
            <w:r w:rsidRPr="006D11CD">
              <w:rPr>
                <w:rFonts w:ascii="Arial" w:hAnsi="Arial" w:cs="Arial"/>
                <w:bCs/>
                <w:sz w:val="22"/>
                <w:szCs w:val="22"/>
              </w:rPr>
              <w:t>(a)(ii) Amatola Water Board defines red tape as “</w:t>
            </w:r>
            <w:r w:rsidRPr="006D11CD">
              <w:rPr>
                <w:rStyle w:val="ssens"/>
                <w:rFonts w:ascii="Arial" w:hAnsi="Arial" w:cs="Arial"/>
                <w:sz w:val="22"/>
                <w:szCs w:val="22"/>
              </w:rPr>
              <w:t xml:space="preserve">official routine or procedure marked by excessive complexity which results in delay or inaction” </w:t>
            </w:r>
          </w:p>
          <w:p w:rsidR="00A26090" w:rsidRPr="006D11CD" w:rsidRDefault="00A26090" w:rsidP="006D11CD">
            <w:pPr>
              <w:pStyle w:val="ListParagraph"/>
              <w:tabs>
                <w:tab w:val="left" w:pos="6105"/>
              </w:tabs>
              <w:jc w:val="both"/>
              <w:rPr>
                <w:rStyle w:val="ssens"/>
                <w:rFonts w:ascii="Arial" w:hAnsi="Arial" w:cs="Arial"/>
                <w:b/>
                <w:bCs/>
                <w:sz w:val="22"/>
                <w:szCs w:val="22"/>
              </w:rPr>
            </w:pPr>
          </w:p>
          <w:p w:rsidR="00A26090" w:rsidRPr="006D11CD" w:rsidRDefault="00A26090" w:rsidP="006D11CD">
            <w:pPr>
              <w:tabs>
                <w:tab w:val="left" w:pos="6105"/>
              </w:tabs>
              <w:jc w:val="both"/>
              <w:rPr>
                <w:rFonts w:ascii="Arial" w:hAnsi="Arial" w:cs="Arial"/>
                <w:b/>
                <w:bCs/>
                <w:sz w:val="22"/>
                <w:szCs w:val="22"/>
              </w:rPr>
            </w:pPr>
            <w:r w:rsidRPr="006D11CD">
              <w:rPr>
                <w:rStyle w:val="ssens"/>
                <w:rFonts w:ascii="Arial" w:hAnsi="Arial" w:cs="Arial"/>
                <w:sz w:val="22"/>
                <w:szCs w:val="22"/>
              </w:rPr>
              <w:t>(b)(i)(ii); (aa); (bb) &amp; (bbb) Amatola Water Board has governing structures internally that ensure an effective and efficient decision making process that reduces red-tape. The governing structures of Amatola Water Board have policies and procedures to give guidance and, to maintain sound control environment. Amatola Water Board is an active stakeholder that participates in various water sector forums and committees that are lead by Department of Water and Sanitation which are aimed at reducing the decision lag processes (e.g. DG’s Forum, PROWAF, SAAWU). The Shareholders Compact (SHC) which serves an agreement between the Water Board and Minister of Water and Sanitation is aligned to the corporate objectives of the water board. This SHC creates a common space for understanding and execution of strategy. The SHC also forms part of the performance system and monitoring is on a quarterly basis in order to take an immediate corrective action against adverse performance results</w:t>
            </w:r>
            <w:r w:rsidRPr="006D11CD">
              <w:rPr>
                <w:rStyle w:val="ssens"/>
                <w:rFonts w:ascii="Arial" w:hAnsi="Arial" w:cs="Arial"/>
              </w:rPr>
              <w:t xml:space="preserve">.  </w:t>
            </w:r>
            <w:bookmarkStart w:id="0" w:name="_GoBack"/>
            <w:bookmarkEnd w:id="0"/>
          </w:p>
        </w:tc>
      </w:tr>
      <w:tr w:rsidR="00A26090" w:rsidTr="006D11CD">
        <w:tc>
          <w:tcPr>
            <w:tcW w:w="567"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2.</w:t>
            </w:r>
          </w:p>
        </w:tc>
        <w:tc>
          <w:tcPr>
            <w:tcW w:w="1843"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Bloem Water</w:t>
            </w:r>
          </w:p>
        </w:tc>
        <w:tc>
          <w:tcPr>
            <w:tcW w:w="6966" w:type="dxa"/>
          </w:tcPr>
          <w:p w:rsidR="00A26090" w:rsidRPr="006D11CD" w:rsidRDefault="00A26090" w:rsidP="006D11CD">
            <w:pPr>
              <w:jc w:val="both"/>
              <w:rPr>
                <w:rFonts w:ascii="Arial" w:hAnsi="Arial" w:cs="Arial"/>
                <w:sz w:val="22"/>
                <w:szCs w:val="22"/>
              </w:rPr>
            </w:pPr>
            <w:r w:rsidRPr="006D11CD">
              <w:rPr>
                <w:rFonts w:ascii="Arial" w:hAnsi="Arial" w:cs="Arial"/>
                <w:sz w:val="22"/>
                <w:szCs w:val="22"/>
              </w:rPr>
              <w:t xml:space="preserve">(a) (i) N/A (ii)Legal mandate by Executive Authority, which is the Board appointed by the Minister, following the Delegation of authority to CE and further to staff. </w:t>
            </w:r>
          </w:p>
          <w:p w:rsidR="00A26090" w:rsidRPr="006D11CD" w:rsidRDefault="00A26090" w:rsidP="006D11CD">
            <w:pPr>
              <w:jc w:val="both"/>
              <w:rPr>
                <w:rFonts w:ascii="Arial" w:hAnsi="Arial" w:cs="Arial"/>
                <w:sz w:val="22"/>
                <w:szCs w:val="22"/>
              </w:rPr>
            </w:pPr>
            <w:r w:rsidRPr="006D11CD">
              <w:rPr>
                <w:rFonts w:ascii="Arial" w:hAnsi="Arial" w:cs="Arial"/>
                <w:sz w:val="22"/>
                <w:szCs w:val="22"/>
              </w:rPr>
              <w:t>(b)(i) (ii) (aa)(bb)This includes Policies approved and procedures implemented to function in such a way to minimise and reduce processes, costs and red tape.</w:t>
            </w:r>
          </w:p>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(aaa) (bbb)N/A</w:t>
            </w:r>
          </w:p>
        </w:tc>
      </w:tr>
      <w:tr w:rsidR="00A26090" w:rsidTr="006D11CD">
        <w:tc>
          <w:tcPr>
            <w:tcW w:w="567"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3.</w:t>
            </w:r>
          </w:p>
        </w:tc>
        <w:tc>
          <w:tcPr>
            <w:tcW w:w="1843"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Lepelle Northern Water</w:t>
            </w:r>
          </w:p>
        </w:tc>
        <w:tc>
          <w:tcPr>
            <w:tcW w:w="6966" w:type="dxa"/>
          </w:tcPr>
          <w:p w:rsidR="00A26090" w:rsidRPr="006D11CD" w:rsidRDefault="00A26090" w:rsidP="006D11CD">
            <w:pPr>
              <w:pStyle w:val="ListParagraph"/>
              <w:numPr>
                <w:ilvl w:val="0"/>
                <w:numId w:val="13"/>
              </w:numPr>
              <w:ind w:left="317" w:hanging="283"/>
              <w:jc w:val="both"/>
              <w:rPr>
                <w:rFonts w:ascii="Arial" w:hAnsi="Arial" w:cs="Arial"/>
                <w:sz w:val="22"/>
                <w:szCs w:val="22"/>
              </w:rPr>
            </w:pPr>
            <w:r w:rsidRPr="006D11CD">
              <w:rPr>
                <w:rFonts w:ascii="Arial" w:hAnsi="Arial" w:cs="Arial"/>
                <w:bCs/>
                <w:sz w:val="22"/>
                <w:szCs w:val="22"/>
              </w:rPr>
              <w:t xml:space="preserve">(ii)Red Tape- </w:t>
            </w:r>
            <w:r w:rsidRPr="006D11CD">
              <w:rPr>
                <w:rFonts w:ascii="Arial" w:hAnsi="Arial" w:cs="Arial"/>
                <w:sz w:val="22"/>
                <w:szCs w:val="22"/>
              </w:rPr>
              <w:t xml:space="preserve">excessive bureaucracy or adherence to official rules and formalities. </w:t>
            </w:r>
          </w:p>
          <w:p w:rsidR="00A26090" w:rsidRPr="006D11CD" w:rsidRDefault="00A26090" w:rsidP="006D11CD">
            <w:pPr>
              <w:pStyle w:val="ListParagraph"/>
              <w:numPr>
                <w:ilvl w:val="0"/>
                <w:numId w:val="13"/>
              </w:numPr>
              <w:ind w:left="317" w:hanging="283"/>
              <w:jc w:val="both"/>
              <w:rPr>
                <w:rFonts w:ascii="Arial" w:hAnsi="Arial" w:cs="Arial"/>
                <w:sz w:val="22"/>
                <w:szCs w:val="22"/>
              </w:rPr>
            </w:pPr>
            <w:r w:rsidRPr="006D11CD">
              <w:rPr>
                <w:rFonts w:ascii="Arial" w:hAnsi="Arial" w:cs="Arial"/>
                <w:sz w:val="22"/>
                <w:szCs w:val="22"/>
              </w:rPr>
              <w:t xml:space="preserve">(i) (ii) (aa)(bb) </w:t>
            </w:r>
            <w:r w:rsidRPr="006D11CD">
              <w:rPr>
                <w:rFonts w:ascii="Arial" w:hAnsi="Arial" w:cs="Arial"/>
                <w:bCs/>
                <w:sz w:val="22"/>
                <w:szCs w:val="22"/>
              </w:rPr>
              <w:t>Our internal</w:t>
            </w:r>
            <w:r w:rsidRPr="006D11CD">
              <w:rPr>
                <w:rFonts w:ascii="Arial" w:hAnsi="Arial" w:cs="Arial"/>
                <w:sz w:val="22"/>
                <w:szCs w:val="22"/>
              </w:rPr>
              <w:t xml:space="preserve"> processes do not have red tape challenges.</w:t>
            </w:r>
          </w:p>
          <w:p w:rsidR="00A26090" w:rsidRPr="006D11CD" w:rsidRDefault="00A26090" w:rsidP="006D11CD">
            <w:pPr>
              <w:ind w:left="34"/>
              <w:jc w:val="both"/>
              <w:rPr>
                <w:rFonts w:ascii="Arial" w:hAnsi="Arial" w:cs="Arial"/>
                <w:sz w:val="22"/>
                <w:szCs w:val="22"/>
              </w:rPr>
            </w:pPr>
            <w:r w:rsidRPr="006D11CD">
              <w:rPr>
                <w:rFonts w:ascii="Arial" w:hAnsi="Arial" w:cs="Arial"/>
                <w:sz w:val="22"/>
                <w:szCs w:val="22"/>
              </w:rPr>
              <w:t>(aaa) (bbb) N/A</w:t>
            </w:r>
          </w:p>
        </w:tc>
      </w:tr>
      <w:tr w:rsidR="00A26090" w:rsidTr="006D11CD">
        <w:tc>
          <w:tcPr>
            <w:tcW w:w="567"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4.</w:t>
            </w:r>
          </w:p>
        </w:tc>
        <w:tc>
          <w:tcPr>
            <w:tcW w:w="1843"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Magalies Water</w:t>
            </w:r>
          </w:p>
        </w:tc>
        <w:tc>
          <w:tcPr>
            <w:tcW w:w="6966" w:type="dxa"/>
          </w:tcPr>
          <w:p w:rsidR="00A26090" w:rsidRPr="006D11CD" w:rsidRDefault="00A26090" w:rsidP="006D11CD">
            <w:pPr>
              <w:pStyle w:val="p0"/>
              <w:spacing w:before="100" w:beforeAutospacing="1" w:after="100" w:afterAutospacing="1"/>
              <w:jc w:val="both"/>
              <w:rPr>
                <w:rFonts w:ascii="Arial" w:hAnsi="Arial" w:cs="Arial"/>
                <w:sz w:val="22"/>
                <w:szCs w:val="22"/>
              </w:rPr>
            </w:pPr>
            <w:r w:rsidRPr="006D11CD">
              <w:rPr>
                <w:rFonts w:ascii="Arial" w:hAnsi="Arial" w:cs="Arial"/>
                <w:sz w:val="22"/>
                <w:szCs w:val="22"/>
              </w:rPr>
              <w:t xml:space="preserve">(a)(ii)Red tape is defined in Magalies Water within the context of normal managerial functions.  This is such that management activities are executed in a certain sequence which follows planning within a formal authority of hierarchical decision making.  </w:t>
            </w:r>
          </w:p>
          <w:p w:rsidR="00A26090" w:rsidRPr="006D11CD" w:rsidRDefault="00A26090" w:rsidP="006D11CD">
            <w:pPr>
              <w:pStyle w:val="p0"/>
              <w:spacing w:before="100" w:beforeAutospacing="1" w:after="100" w:afterAutospacing="1"/>
              <w:jc w:val="both"/>
              <w:rPr>
                <w:rFonts w:ascii="Arial" w:hAnsi="Arial" w:cs="Arial"/>
                <w:sz w:val="22"/>
                <w:szCs w:val="22"/>
              </w:rPr>
            </w:pPr>
            <w:r w:rsidRPr="006D11CD">
              <w:rPr>
                <w:rFonts w:ascii="Arial" w:hAnsi="Arial" w:cs="Arial"/>
                <w:sz w:val="22"/>
                <w:szCs w:val="22"/>
              </w:rPr>
              <w:t>(b)(i)-(ii)A materiality and significance framework and the Delegations of Authority</w:t>
            </w:r>
          </w:p>
          <w:p w:rsidR="00A26090" w:rsidRPr="006D11CD" w:rsidRDefault="00A26090" w:rsidP="006D11CD">
            <w:pPr>
              <w:pStyle w:val="p0"/>
              <w:spacing w:before="100" w:beforeAutospacing="1" w:after="100" w:afterAutospacing="1"/>
              <w:jc w:val="both"/>
              <w:rPr>
                <w:rFonts w:ascii="Arial" w:hAnsi="Arial" w:cs="Arial"/>
                <w:sz w:val="22"/>
                <w:szCs w:val="22"/>
              </w:rPr>
            </w:pPr>
            <w:r w:rsidRPr="006D11CD">
              <w:rPr>
                <w:rFonts w:ascii="Arial" w:hAnsi="Arial" w:cs="Arial"/>
                <w:sz w:val="22"/>
                <w:szCs w:val="22"/>
              </w:rPr>
              <w:t>(aa)-(bb)-(aaa) N/A (bbb)The above instruments do neither identify nor reduce red tape but facilitate effective decision making processes within the organisation.  The materiality and significance framework facilitate decisions on material transactions by the Board and on significant transactions by the Minister of Water and Sanitation.  The delegations of authority facilitate internal decision making processes at various managerial levels.</w:t>
            </w:r>
          </w:p>
        </w:tc>
      </w:tr>
      <w:tr w:rsidR="00A26090" w:rsidTr="006D11CD">
        <w:tc>
          <w:tcPr>
            <w:tcW w:w="567"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5.</w:t>
            </w:r>
          </w:p>
        </w:tc>
        <w:tc>
          <w:tcPr>
            <w:tcW w:w="1843"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Mhlathuze Water</w:t>
            </w:r>
          </w:p>
        </w:tc>
        <w:tc>
          <w:tcPr>
            <w:tcW w:w="6966" w:type="dxa"/>
          </w:tcPr>
          <w:p w:rsidR="00A26090" w:rsidRPr="006D11CD" w:rsidRDefault="00A26090" w:rsidP="006D11CD">
            <w:pPr>
              <w:spacing w:before="100" w:beforeAutospacing="1" w:after="100" w:afterAutospacing="1"/>
              <w:jc w:val="both"/>
              <w:rPr>
                <w:rFonts w:ascii="Arial" w:hAnsi="Arial" w:cs="Arial"/>
                <w:color w:val="000000"/>
                <w:sz w:val="22"/>
                <w:szCs w:val="22"/>
                <w:lang w:val="en-ZA" w:eastAsia="en-ZA"/>
              </w:rPr>
            </w:pPr>
            <w:r w:rsidRPr="006D11CD">
              <w:rPr>
                <w:rFonts w:ascii="Arial" w:hAnsi="Arial" w:cs="Arial"/>
                <w:color w:val="000000"/>
                <w:sz w:val="22"/>
                <w:szCs w:val="22"/>
                <w:lang w:val="en-ZA" w:eastAsia="en-ZA"/>
              </w:rPr>
              <w:t xml:space="preserve">(a) (i) N/A (ii) Our understanding of the word “red tape” is that it is a term used to describe </w:t>
            </w:r>
            <w:r w:rsidRPr="006D11CD">
              <w:rPr>
                <w:rFonts w:ascii="Arial" w:hAnsi="Arial" w:cs="Arial"/>
                <w:color w:val="000000"/>
                <w:sz w:val="22"/>
                <w:szCs w:val="22"/>
                <w:lang w:eastAsia="en-ZA"/>
              </w:rPr>
              <w:t xml:space="preserve">excessive </w:t>
            </w:r>
            <w:hyperlink r:id="rId8" w:tooltip="Regulation" w:history="1">
              <w:r w:rsidRPr="006D11CD">
                <w:rPr>
                  <w:rFonts w:ascii="Arial" w:hAnsi="Arial" w:cs="Arial"/>
                  <w:color w:val="000000"/>
                  <w:sz w:val="22"/>
                  <w:szCs w:val="22"/>
                  <w:u w:val="single"/>
                  <w:lang w:eastAsia="en-ZA"/>
                </w:rPr>
                <w:t>regulation</w:t>
              </w:r>
            </w:hyperlink>
            <w:r w:rsidRPr="006D11CD">
              <w:rPr>
                <w:rFonts w:ascii="Arial" w:hAnsi="Arial" w:cs="Arial"/>
                <w:color w:val="000000"/>
                <w:sz w:val="22"/>
                <w:szCs w:val="22"/>
                <w:lang w:eastAsia="en-ZA"/>
              </w:rPr>
              <w:t xml:space="preserve"> that hinders timeous action or decision-making. </w:t>
            </w:r>
          </w:p>
          <w:p w:rsidR="00A26090" w:rsidRPr="006D11CD" w:rsidRDefault="00A26090" w:rsidP="006D11CD">
            <w:pPr>
              <w:spacing w:before="100" w:beforeAutospacing="1" w:after="100" w:afterAutospacing="1"/>
              <w:jc w:val="both"/>
              <w:rPr>
                <w:rFonts w:ascii="Arial" w:hAnsi="Arial" w:cs="Arial"/>
                <w:bCs/>
                <w:color w:val="000000"/>
                <w:sz w:val="22"/>
                <w:szCs w:val="22"/>
              </w:rPr>
            </w:pPr>
            <w:r w:rsidRPr="006D11CD">
              <w:rPr>
                <w:rFonts w:ascii="Arial" w:hAnsi="Arial" w:cs="Arial"/>
                <w:bCs/>
                <w:color w:val="000000"/>
                <w:sz w:val="22"/>
                <w:szCs w:val="22"/>
              </w:rPr>
              <w:t>(b) (i) (ii) (aa) (bb) MW has recently reviewed its business processes in order to streamline all its processes for effective delivery of services. MW policies are reviewed regularly to ensure that they are still effective and relevant in achieving service delivery.</w:t>
            </w:r>
          </w:p>
          <w:p w:rsidR="00A26090" w:rsidRPr="006D11CD" w:rsidRDefault="00A26090" w:rsidP="006D11CD">
            <w:pPr>
              <w:spacing w:before="100" w:beforeAutospacing="1" w:after="100" w:afterAutospacing="1"/>
              <w:jc w:val="both"/>
              <w:rPr>
                <w:rFonts w:ascii="Arial" w:hAnsi="Arial" w:cs="Arial"/>
                <w:bCs/>
                <w:color w:val="000000"/>
                <w:sz w:val="22"/>
                <w:szCs w:val="22"/>
              </w:rPr>
            </w:pPr>
            <w:r w:rsidRPr="006D11CD">
              <w:rPr>
                <w:rFonts w:ascii="Arial" w:hAnsi="Arial" w:cs="Arial"/>
                <w:bCs/>
                <w:color w:val="000000"/>
                <w:sz w:val="22"/>
                <w:szCs w:val="22"/>
              </w:rPr>
              <w:t>(aaa)N/A</w:t>
            </w:r>
          </w:p>
          <w:p w:rsidR="00A26090" w:rsidRPr="006D11CD" w:rsidRDefault="00A26090" w:rsidP="006D11CD">
            <w:pPr>
              <w:spacing w:before="100" w:beforeAutospacing="1" w:after="100" w:afterAutospacing="1"/>
              <w:jc w:val="both"/>
              <w:rPr>
                <w:rFonts w:ascii="Arial" w:hAnsi="Arial" w:cs="Arial"/>
                <w:bCs/>
                <w:color w:val="000000"/>
                <w:sz w:val="22"/>
                <w:szCs w:val="22"/>
              </w:rPr>
            </w:pPr>
            <w:r w:rsidRPr="006D11CD">
              <w:rPr>
                <w:rFonts w:ascii="Arial" w:hAnsi="Arial" w:cs="Arial"/>
                <w:bCs/>
                <w:color w:val="000000"/>
                <w:sz w:val="22"/>
                <w:szCs w:val="22"/>
              </w:rPr>
              <w:t xml:space="preserve">(bbb)It should however be noted that statutory compliance takes precedence over internal processes, policies and procedures. </w:t>
            </w:r>
          </w:p>
        </w:tc>
      </w:tr>
      <w:tr w:rsidR="00A26090" w:rsidTr="006D11CD">
        <w:tc>
          <w:tcPr>
            <w:tcW w:w="567"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6.</w:t>
            </w:r>
          </w:p>
        </w:tc>
        <w:tc>
          <w:tcPr>
            <w:tcW w:w="1843"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Overberg Water</w:t>
            </w:r>
          </w:p>
        </w:tc>
        <w:tc>
          <w:tcPr>
            <w:tcW w:w="6966" w:type="dxa"/>
          </w:tcPr>
          <w:p w:rsidR="00A26090" w:rsidRPr="006D11CD" w:rsidRDefault="00A26090" w:rsidP="006D11CD">
            <w:pPr>
              <w:jc w:val="both"/>
              <w:rPr>
                <w:rFonts w:ascii="Arial" w:hAnsi="Arial" w:cs="Arial"/>
                <w:sz w:val="22"/>
                <w:szCs w:val="22"/>
              </w:rPr>
            </w:pPr>
            <w:r w:rsidRPr="006D11CD">
              <w:rPr>
                <w:rFonts w:ascii="Arial" w:hAnsi="Arial" w:cs="Arial"/>
                <w:color w:val="000000"/>
                <w:sz w:val="22"/>
                <w:szCs w:val="22"/>
                <w:lang w:val="en-ZA" w:eastAsia="en-ZA"/>
              </w:rPr>
              <w:t xml:space="preserve">(a) (i) N/A (ii) </w:t>
            </w:r>
            <w:r w:rsidRPr="006D11CD">
              <w:rPr>
                <w:rFonts w:ascii="Arial" w:hAnsi="Arial" w:cs="Arial"/>
                <w:sz w:val="22"/>
                <w:szCs w:val="22"/>
              </w:rPr>
              <w:t>Overberg Water is not experiencing any red tape in our engagement within and with the external stakeholders.</w:t>
            </w:r>
          </w:p>
          <w:p w:rsidR="00A26090" w:rsidRPr="006D11CD" w:rsidRDefault="00A26090" w:rsidP="006D11CD">
            <w:pPr>
              <w:jc w:val="both"/>
              <w:rPr>
                <w:rFonts w:ascii="Arial" w:hAnsi="Arial" w:cs="Arial"/>
                <w:bCs/>
                <w:color w:val="000000"/>
                <w:sz w:val="22"/>
                <w:szCs w:val="22"/>
              </w:rPr>
            </w:pPr>
            <w:r w:rsidRPr="006D11CD">
              <w:rPr>
                <w:rFonts w:ascii="Arial" w:hAnsi="Arial" w:cs="Arial"/>
                <w:bCs/>
                <w:color w:val="000000"/>
                <w:sz w:val="22"/>
                <w:szCs w:val="22"/>
              </w:rPr>
              <w:t>(b) (i) (ii) (aa) (bb) N/A</w:t>
            </w:r>
          </w:p>
          <w:p w:rsidR="00A26090" w:rsidRPr="006D11CD" w:rsidRDefault="00A26090" w:rsidP="006D11CD">
            <w:pPr>
              <w:spacing w:before="100" w:beforeAutospacing="1" w:after="100" w:afterAutospacing="1"/>
              <w:jc w:val="both"/>
              <w:rPr>
                <w:rFonts w:ascii="Arial" w:hAnsi="Arial" w:cs="Arial"/>
                <w:bCs/>
                <w:color w:val="000000"/>
                <w:sz w:val="22"/>
                <w:szCs w:val="22"/>
              </w:rPr>
            </w:pPr>
            <w:r w:rsidRPr="006D11CD">
              <w:rPr>
                <w:rFonts w:ascii="Arial" w:hAnsi="Arial" w:cs="Arial"/>
                <w:bCs/>
                <w:color w:val="000000"/>
                <w:sz w:val="22"/>
                <w:szCs w:val="22"/>
              </w:rPr>
              <w:t>(aaa) (bbb) N/A</w:t>
            </w:r>
          </w:p>
        </w:tc>
      </w:tr>
      <w:tr w:rsidR="00A26090" w:rsidTr="006D11CD">
        <w:tc>
          <w:tcPr>
            <w:tcW w:w="567"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7.</w:t>
            </w:r>
          </w:p>
        </w:tc>
        <w:tc>
          <w:tcPr>
            <w:tcW w:w="1843"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Rand Water</w:t>
            </w:r>
          </w:p>
        </w:tc>
        <w:tc>
          <w:tcPr>
            <w:tcW w:w="6966" w:type="dxa"/>
          </w:tcPr>
          <w:p w:rsidR="00A26090" w:rsidRPr="006D11CD" w:rsidRDefault="00A26090" w:rsidP="006D11CD">
            <w:pPr>
              <w:tabs>
                <w:tab w:val="left" w:pos="6105"/>
              </w:tabs>
              <w:spacing w:line="360" w:lineRule="auto"/>
              <w:jc w:val="both"/>
              <w:rPr>
                <w:rFonts w:ascii="Arial" w:hAnsi="Arial" w:cs="Arial"/>
                <w:bCs/>
                <w:sz w:val="22"/>
                <w:szCs w:val="22"/>
              </w:rPr>
            </w:pPr>
            <w:r w:rsidRPr="006D11CD">
              <w:rPr>
                <w:rFonts w:ascii="Arial" w:hAnsi="Arial" w:cs="Arial"/>
                <w:bCs/>
                <w:sz w:val="22"/>
                <w:szCs w:val="22"/>
              </w:rPr>
              <w:t>(a) (ii) There is no definition of red tape in terms of the law.</w:t>
            </w:r>
          </w:p>
          <w:p w:rsidR="00A26090" w:rsidRPr="006D11CD" w:rsidRDefault="00A26090" w:rsidP="006D11CD">
            <w:pPr>
              <w:tabs>
                <w:tab w:val="left" w:pos="6105"/>
              </w:tabs>
              <w:jc w:val="both"/>
              <w:rPr>
                <w:rFonts w:ascii="Arial" w:hAnsi="Arial" w:cs="Arial"/>
                <w:bCs/>
                <w:color w:val="000000"/>
                <w:sz w:val="22"/>
                <w:szCs w:val="22"/>
              </w:rPr>
            </w:pPr>
            <w:r w:rsidRPr="006D11CD">
              <w:rPr>
                <w:rFonts w:ascii="Arial" w:hAnsi="Arial" w:cs="Arial"/>
                <w:bCs/>
                <w:color w:val="000000"/>
                <w:sz w:val="22"/>
                <w:szCs w:val="22"/>
              </w:rPr>
              <w:t>(b) (i) (ii) (aa) (bb)</w:t>
            </w:r>
            <w:r w:rsidRPr="006D11CD">
              <w:rPr>
                <w:rFonts w:ascii="Arial" w:hAnsi="Arial" w:cs="Arial"/>
                <w:bCs/>
                <w:sz w:val="22"/>
                <w:szCs w:val="22"/>
              </w:rPr>
              <w:t>To improve efficiencies within Rand Water’s Supply Chain Management we are continuously reviewing our systems and policies and currently participating in the review of the Preferential Procurement Act in order to improve economic transformation and participation of previously disadvantages entities in the business of Rand Water.</w:t>
            </w:r>
          </w:p>
          <w:p w:rsidR="00A26090" w:rsidRPr="006D11CD" w:rsidRDefault="00A26090" w:rsidP="006D11CD">
            <w:pPr>
              <w:tabs>
                <w:tab w:val="left" w:pos="6105"/>
              </w:tabs>
              <w:jc w:val="both"/>
              <w:rPr>
                <w:rFonts w:ascii="Arial" w:hAnsi="Arial" w:cs="Arial"/>
                <w:bCs/>
                <w:sz w:val="22"/>
                <w:szCs w:val="22"/>
              </w:rPr>
            </w:pPr>
          </w:p>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color w:val="000000"/>
                <w:sz w:val="22"/>
                <w:szCs w:val="22"/>
              </w:rPr>
              <w:t>(aaa) (bbb) N/A</w:t>
            </w:r>
          </w:p>
        </w:tc>
      </w:tr>
      <w:tr w:rsidR="00A26090" w:rsidTr="006D11CD">
        <w:tc>
          <w:tcPr>
            <w:tcW w:w="567"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8.</w:t>
            </w:r>
          </w:p>
        </w:tc>
        <w:tc>
          <w:tcPr>
            <w:tcW w:w="1843"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Sedibeng Water</w:t>
            </w:r>
          </w:p>
        </w:tc>
        <w:tc>
          <w:tcPr>
            <w:tcW w:w="6966" w:type="dxa"/>
          </w:tcPr>
          <w:p w:rsidR="00A26090" w:rsidRPr="006D11CD" w:rsidRDefault="00A26090" w:rsidP="006D11CD">
            <w:pPr>
              <w:tabs>
                <w:tab w:val="left" w:pos="720"/>
                <w:tab w:val="left" w:pos="1701"/>
                <w:tab w:val="left" w:pos="3180"/>
              </w:tabs>
              <w:spacing w:before="100" w:beforeAutospacing="1" w:after="100" w:afterAutospacing="1"/>
              <w:ind w:right="54"/>
              <w:jc w:val="both"/>
              <w:rPr>
                <w:rFonts w:ascii="Arial" w:hAnsi="Arial" w:cs="Arial"/>
                <w:sz w:val="22"/>
                <w:szCs w:val="22"/>
              </w:rPr>
            </w:pPr>
            <w:r w:rsidRPr="006D11CD">
              <w:rPr>
                <w:rFonts w:ascii="Arial" w:hAnsi="Arial" w:cs="Arial"/>
              </w:rPr>
              <w:t>a</w:t>
            </w:r>
            <w:r w:rsidRPr="006D11CD">
              <w:rPr>
                <w:rFonts w:ascii="Arial" w:hAnsi="Arial" w:cs="Arial"/>
                <w:sz w:val="22"/>
                <w:szCs w:val="22"/>
              </w:rPr>
              <w:t xml:space="preserve">) (i) </w:t>
            </w:r>
            <w:r w:rsidRPr="006D11CD">
              <w:rPr>
                <w:rFonts w:ascii="Arial" w:hAnsi="Arial" w:cs="Arial"/>
                <w:sz w:val="22"/>
                <w:szCs w:val="22"/>
              </w:rPr>
              <w:tab/>
              <w:t>N/A (Applicable to the department)</w:t>
            </w:r>
          </w:p>
          <w:p w:rsidR="00A26090" w:rsidRPr="006D11CD" w:rsidRDefault="00A26090" w:rsidP="006D11CD">
            <w:pPr>
              <w:tabs>
                <w:tab w:val="left" w:pos="720"/>
                <w:tab w:val="left" w:pos="1560"/>
                <w:tab w:val="left" w:pos="1701"/>
              </w:tabs>
              <w:spacing w:before="100" w:beforeAutospacing="1" w:after="100" w:afterAutospacing="1"/>
              <w:ind w:right="54"/>
              <w:jc w:val="both"/>
              <w:rPr>
                <w:rFonts w:ascii="Arial" w:hAnsi="Arial" w:cs="Arial"/>
                <w:sz w:val="22"/>
                <w:szCs w:val="22"/>
              </w:rPr>
            </w:pPr>
            <w:r w:rsidRPr="006D11CD">
              <w:rPr>
                <w:rFonts w:ascii="Arial" w:hAnsi="Arial" w:cs="Arial"/>
                <w:sz w:val="22"/>
                <w:szCs w:val="22"/>
              </w:rPr>
              <w:t>(ii) Red tape is when processes to approve and authorize activities of the entity are held hostage due to long authorization and approval processes.</w:t>
            </w:r>
          </w:p>
          <w:p w:rsidR="00A26090" w:rsidRPr="006D11CD" w:rsidRDefault="00A26090" w:rsidP="006D11CD">
            <w:pPr>
              <w:tabs>
                <w:tab w:val="left" w:pos="720"/>
                <w:tab w:val="left" w:pos="1701"/>
                <w:tab w:val="left" w:pos="3180"/>
              </w:tabs>
              <w:spacing w:before="100" w:beforeAutospacing="1" w:after="100" w:afterAutospacing="1"/>
              <w:ind w:right="54"/>
              <w:jc w:val="both"/>
              <w:rPr>
                <w:rFonts w:ascii="Arial" w:hAnsi="Arial" w:cs="Arial"/>
                <w:sz w:val="22"/>
                <w:szCs w:val="22"/>
              </w:rPr>
            </w:pPr>
            <w:r w:rsidRPr="006D11CD">
              <w:rPr>
                <w:rFonts w:ascii="Arial" w:hAnsi="Arial" w:cs="Arial"/>
                <w:sz w:val="22"/>
                <w:szCs w:val="22"/>
              </w:rPr>
              <w:t xml:space="preserve">(b) (i) </w:t>
            </w:r>
            <w:r w:rsidRPr="006D11CD">
              <w:rPr>
                <w:rFonts w:ascii="Arial" w:hAnsi="Arial" w:cs="Arial"/>
                <w:sz w:val="22"/>
                <w:szCs w:val="22"/>
              </w:rPr>
              <w:tab/>
              <w:t xml:space="preserve">The necessary processes are still undertaken as per the prescripts of the legislation and business best practices, however business processes mapping was undertaken to respond to the legislation, policies and procedure are defined to enable business efficiencies. </w:t>
            </w:r>
          </w:p>
          <w:p w:rsidR="00A26090" w:rsidRPr="006D11CD" w:rsidRDefault="00A26090" w:rsidP="006D11CD">
            <w:pPr>
              <w:tabs>
                <w:tab w:val="left" w:pos="601"/>
                <w:tab w:val="left" w:pos="1701"/>
                <w:tab w:val="left" w:pos="3180"/>
              </w:tabs>
              <w:spacing w:before="100" w:beforeAutospacing="1" w:after="100" w:afterAutospacing="1"/>
              <w:ind w:right="54"/>
              <w:jc w:val="both"/>
              <w:rPr>
                <w:rFonts w:ascii="Arial" w:hAnsi="Arial" w:cs="Arial"/>
                <w:sz w:val="22"/>
                <w:szCs w:val="22"/>
              </w:rPr>
            </w:pPr>
            <w:r w:rsidRPr="006D11CD">
              <w:rPr>
                <w:rFonts w:ascii="Arial" w:hAnsi="Arial" w:cs="Arial"/>
                <w:sz w:val="22"/>
                <w:szCs w:val="22"/>
              </w:rPr>
              <w:t>(ii)</w:t>
            </w:r>
            <w:r w:rsidRPr="006D11CD">
              <w:rPr>
                <w:rFonts w:ascii="Arial" w:hAnsi="Arial" w:cs="Arial"/>
                <w:sz w:val="22"/>
                <w:szCs w:val="22"/>
              </w:rPr>
              <w:tab/>
              <w:t>Systems implemented to identify red tape are</w:t>
            </w:r>
          </w:p>
          <w:p w:rsidR="00A26090" w:rsidRPr="006D11CD" w:rsidRDefault="00A26090" w:rsidP="006D11CD">
            <w:pPr>
              <w:tabs>
                <w:tab w:val="left" w:pos="720"/>
                <w:tab w:val="left" w:pos="1985"/>
                <w:tab w:val="left" w:pos="3180"/>
              </w:tabs>
              <w:spacing w:before="100" w:beforeAutospacing="1" w:after="100" w:afterAutospacing="1"/>
              <w:ind w:right="54"/>
              <w:jc w:val="both"/>
              <w:rPr>
                <w:rFonts w:ascii="Arial" w:hAnsi="Arial" w:cs="Arial"/>
                <w:sz w:val="22"/>
                <w:szCs w:val="22"/>
              </w:rPr>
            </w:pPr>
            <w:r w:rsidRPr="006D11CD">
              <w:rPr>
                <w:rFonts w:ascii="Arial" w:hAnsi="Arial" w:cs="Arial"/>
                <w:sz w:val="22"/>
                <w:szCs w:val="22"/>
              </w:rPr>
              <w:t>(aa) The time taken to authorize transactions is checked against the target set to authorize and process; the level of authorization required in terms of the delegated authority; the number of people who hold the requisite authority to transact (bb) reduce red tape in: (aaa) N/A (Applicable to the department) (bbb) A shared services model and automation of the business processes systems was implemented. Reviewing the delegation of authority to allow back up and acting positions taking into account the level of understanding on accountability.</w:t>
            </w:r>
          </w:p>
        </w:tc>
      </w:tr>
      <w:tr w:rsidR="00A26090" w:rsidTr="006D11CD">
        <w:tc>
          <w:tcPr>
            <w:tcW w:w="567"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9.</w:t>
            </w:r>
          </w:p>
        </w:tc>
        <w:tc>
          <w:tcPr>
            <w:tcW w:w="1843"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Umgeni Water</w:t>
            </w:r>
          </w:p>
        </w:tc>
        <w:tc>
          <w:tcPr>
            <w:tcW w:w="6966" w:type="dxa"/>
          </w:tcPr>
          <w:p w:rsidR="00A26090" w:rsidRPr="006D11CD" w:rsidRDefault="00A26090" w:rsidP="006D11CD">
            <w:pPr>
              <w:tabs>
                <w:tab w:val="left" w:pos="720"/>
                <w:tab w:val="left" w:pos="1701"/>
                <w:tab w:val="left" w:pos="3180"/>
              </w:tabs>
              <w:spacing w:before="100" w:beforeAutospacing="1" w:after="100" w:afterAutospacing="1"/>
              <w:ind w:right="54"/>
              <w:jc w:val="both"/>
              <w:rPr>
                <w:rFonts w:ascii="Arial" w:hAnsi="Arial" w:cs="Arial"/>
                <w:sz w:val="22"/>
                <w:szCs w:val="22"/>
              </w:rPr>
            </w:pPr>
            <w:r w:rsidRPr="006D11CD">
              <w:rPr>
                <w:rFonts w:ascii="Arial" w:hAnsi="Arial" w:cs="Arial"/>
                <w:sz w:val="22"/>
                <w:szCs w:val="22"/>
              </w:rPr>
              <w:t xml:space="preserve">a) (i) N/A (ii) Red tape is when processes to approve and authorize activities of the entity are held hostage due to long authorization and approval processes. </w:t>
            </w:r>
          </w:p>
          <w:p w:rsidR="00A26090" w:rsidRPr="006D11CD" w:rsidRDefault="00A26090" w:rsidP="006D11CD">
            <w:pPr>
              <w:tabs>
                <w:tab w:val="left" w:pos="720"/>
                <w:tab w:val="left" w:pos="1701"/>
                <w:tab w:val="left" w:pos="3180"/>
              </w:tabs>
              <w:spacing w:before="100" w:beforeAutospacing="1" w:after="100" w:afterAutospacing="1"/>
              <w:ind w:right="54"/>
              <w:jc w:val="both"/>
              <w:rPr>
                <w:rFonts w:ascii="Arial" w:hAnsi="Arial" w:cs="Arial"/>
                <w:sz w:val="22"/>
                <w:szCs w:val="22"/>
                <w:lang w:val="en-ZA"/>
              </w:rPr>
            </w:pPr>
            <w:r w:rsidRPr="006D11CD">
              <w:rPr>
                <w:rFonts w:ascii="Arial" w:hAnsi="Arial" w:cs="Arial"/>
                <w:bCs/>
                <w:color w:val="000000"/>
                <w:sz w:val="22"/>
                <w:szCs w:val="22"/>
              </w:rPr>
              <w:t xml:space="preserve">(b) (i) (ii) (aa) (bb) </w:t>
            </w:r>
            <w:r w:rsidRPr="006D11CD">
              <w:rPr>
                <w:rFonts w:ascii="Arial" w:hAnsi="Arial" w:cs="Arial"/>
                <w:sz w:val="22"/>
                <w:szCs w:val="22"/>
                <w:lang w:val="en-ZA"/>
              </w:rPr>
              <w:t xml:space="preserve">Umgeni Water has developed systems of internal control that include approved policies and an articulate delegation of powers framework. The framework gives appropriate officials powers to implement decisions at various and appropriate levels. </w:t>
            </w:r>
          </w:p>
          <w:p w:rsidR="00A26090" w:rsidRPr="006D11CD" w:rsidRDefault="00A26090" w:rsidP="006D11CD">
            <w:pPr>
              <w:tabs>
                <w:tab w:val="left" w:pos="720"/>
                <w:tab w:val="left" w:pos="1701"/>
                <w:tab w:val="left" w:pos="3180"/>
              </w:tabs>
              <w:spacing w:before="100" w:beforeAutospacing="1" w:after="100" w:afterAutospacing="1"/>
              <w:ind w:right="54"/>
              <w:jc w:val="both"/>
              <w:rPr>
                <w:rFonts w:ascii="Arial" w:hAnsi="Arial" w:cs="Arial"/>
                <w:sz w:val="22"/>
                <w:szCs w:val="22"/>
                <w:lang w:val="en-ZA"/>
              </w:rPr>
            </w:pPr>
            <w:r w:rsidRPr="006D11CD">
              <w:rPr>
                <w:rFonts w:ascii="Arial" w:hAnsi="Arial" w:cs="Arial"/>
                <w:sz w:val="22"/>
                <w:szCs w:val="22"/>
                <w:lang w:val="en-ZA"/>
              </w:rPr>
              <w:t xml:space="preserve">(aaa) N/A (bbb) These systems assist the organisation to quickly dispatch resources and make business decisions without having to wait for executive and accounting authority meetings. However the accounting authority exercises appropriate oversight on decisions taken by management / officials. </w:t>
            </w:r>
          </w:p>
        </w:tc>
      </w:tr>
      <w:tr w:rsidR="00A26090" w:rsidTr="006D11CD">
        <w:tc>
          <w:tcPr>
            <w:tcW w:w="567"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10.</w:t>
            </w:r>
          </w:p>
        </w:tc>
        <w:tc>
          <w:tcPr>
            <w:tcW w:w="1843"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 xml:space="preserve">Trans-Caledon Tunnel Authority </w:t>
            </w:r>
          </w:p>
        </w:tc>
        <w:tc>
          <w:tcPr>
            <w:tcW w:w="6966" w:type="dxa"/>
          </w:tcPr>
          <w:p w:rsidR="00A26090" w:rsidRPr="006D11CD" w:rsidRDefault="00A26090" w:rsidP="006D11CD">
            <w:pPr>
              <w:jc w:val="both"/>
              <w:rPr>
                <w:rFonts w:ascii="Arial" w:hAnsi="Arial" w:cs="Arial"/>
                <w:sz w:val="22"/>
                <w:szCs w:val="22"/>
              </w:rPr>
            </w:pPr>
            <w:r w:rsidRPr="006D11CD">
              <w:rPr>
                <w:rFonts w:ascii="Arial" w:hAnsi="Arial" w:cs="Arial"/>
                <w:color w:val="000000"/>
                <w:sz w:val="22"/>
                <w:szCs w:val="22"/>
                <w:lang w:val="en-ZA" w:eastAsia="en-ZA"/>
              </w:rPr>
              <w:t xml:space="preserve">(a) (i) N/A (ii) </w:t>
            </w:r>
            <w:r w:rsidRPr="006D11CD">
              <w:rPr>
                <w:rFonts w:ascii="Arial" w:hAnsi="Arial" w:cs="Arial"/>
                <w:sz w:val="22"/>
                <w:szCs w:val="22"/>
              </w:rPr>
              <w:t>TCTA is a service provider to other water management institutions.  It does not regulate (i.e. grant permission to an organisation /individual to carry out an activity) or provide a service over which it has a monopoly to others electricity water etc.</w:t>
            </w:r>
          </w:p>
          <w:p w:rsidR="00A26090" w:rsidRPr="006D11CD" w:rsidRDefault="00A26090" w:rsidP="006D11CD">
            <w:pPr>
              <w:jc w:val="both"/>
              <w:rPr>
                <w:rFonts w:ascii="Arial" w:hAnsi="Arial" w:cs="Arial"/>
                <w:sz w:val="22"/>
                <w:szCs w:val="22"/>
              </w:rPr>
            </w:pPr>
            <w:r w:rsidRPr="006D11CD">
              <w:rPr>
                <w:rFonts w:ascii="Arial" w:hAnsi="Arial" w:cs="Arial"/>
                <w:bCs/>
                <w:color w:val="000000"/>
                <w:sz w:val="22"/>
                <w:szCs w:val="22"/>
              </w:rPr>
              <w:t>(b) (i) (ii) (aa) (bb)</w:t>
            </w:r>
            <w:r w:rsidRPr="006D11CD">
              <w:rPr>
                <w:rFonts w:ascii="Arial" w:hAnsi="Arial" w:cs="Arial"/>
                <w:sz w:val="22"/>
                <w:szCs w:val="22"/>
              </w:rPr>
              <w:t xml:space="preserve"> </w:t>
            </w:r>
            <w:r w:rsidRPr="006D11CD">
              <w:rPr>
                <w:rFonts w:ascii="Arial" w:hAnsi="Arial" w:cs="Arial"/>
                <w:bCs/>
                <w:color w:val="000000"/>
                <w:sz w:val="22"/>
                <w:szCs w:val="22"/>
              </w:rPr>
              <w:t>(aaa) (bbb) N/A</w:t>
            </w:r>
            <w:r w:rsidRPr="006D11CD">
              <w:rPr>
                <w:rFonts w:ascii="Arial" w:hAnsi="Arial" w:cs="Arial"/>
                <w:sz w:val="22"/>
                <w:szCs w:val="22"/>
              </w:rPr>
              <w:t xml:space="preserve"> The questions are, therefore, not of relevance to TCTA.</w:t>
            </w:r>
          </w:p>
        </w:tc>
      </w:tr>
      <w:tr w:rsidR="00A26090" w:rsidTr="006D11CD">
        <w:tc>
          <w:tcPr>
            <w:tcW w:w="567"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11.</w:t>
            </w:r>
          </w:p>
        </w:tc>
        <w:tc>
          <w:tcPr>
            <w:tcW w:w="1843"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Water Research Commission</w:t>
            </w:r>
          </w:p>
        </w:tc>
        <w:tc>
          <w:tcPr>
            <w:tcW w:w="6966"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 xml:space="preserve">(a) (ii) Definition of Red Tape.  The term red tape is not used.  </w:t>
            </w:r>
          </w:p>
          <w:p w:rsidR="00A26090" w:rsidRPr="006D11CD" w:rsidRDefault="00A26090" w:rsidP="006D11CD">
            <w:pPr>
              <w:tabs>
                <w:tab w:val="left" w:pos="6105"/>
              </w:tabs>
              <w:jc w:val="both"/>
              <w:rPr>
                <w:rFonts w:ascii="Arial" w:hAnsi="Arial" w:cs="Arial"/>
                <w:bCs/>
                <w:sz w:val="22"/>
                <w:szCs w:val="22"/>
              </w:rPr>
            </w:pPr>
          </w:p>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 xml:space="preserve">(b) (i)  The WRC has had no specific interventions or (ii) systems implemented. </w:t>
            </w:r>
          </w:p>
          <w:p w:rsidR="00A26090" w:rsidRPr="006D11CD" w:rsidRDefault="00A26090" w:rsidP="006D11CD">
            <w:pPr>
              <w:tabs>
                <w:tab w:val="left" w:pos="6105"/>
              </w:tabs>
              <w:jc w:val="both"/>
              <w:rPr>
                <w:rFonts w:ascii="Arial" w:hAnsi="Arial" w:cs="Arial"/>
                <w:bCs/>
                <w:sz w:val="22"/>
                <w:szCs w:val="22"/>
              </w:rPr>
            </w:pPr>
          </w:p>
          <w:p w:rsidR="00A26090" w:rsidRPr="006D11CD" w:rsidRDefault="00A26090" w:rsidP="006D11CD">
            <w:pPr>
              <w:jc w:val="both"/>
              <w:rPr>
                <w:rFonts w:ascii="Arial" w:hAnsi="Arial" w:cs="Arial"/>
                <w:sz w:val="22"/>
                <w:szCs w:val="22"/>
                <w:lang w:val="en-ZA"/>
              </w:rPr>
            </w:pPr>
            <w:r w:rsidRPr="006D11CD">
              <w:rPr>
                <w:rFonts w:ascii="Arial" w:hAnsi="Arial" w:cs="Arial"/>
                <w:sz w:val="22"/>
                <w:szCs w:val="22"/>
                <w:lang w:val="en-ZA"/>
              </w:rPr>
              <w:t xml:space="preserve">The WRC has a fairly efficient deal flow system with our research management system and while we continuously seek improvement, we have had no complaints about unnecessary red tape.  The legislative requirements and regulations that apply to the WRC have been effectively integrated into the operations to ensure smooth process flows. </w:t>
            </w:r>
          </w:p>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 xml:space="preserve"> (aaa) (bbb) N/A</w:t>
            </w:r>
          </w:p>
        </w:tc>
      </w:tr>
      <w:tr w:rsidR="00A26090" w:rsidTr="006D11CD">
        <w:tc>
          <w:tcPr>
            <w:tcW w:w="567"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12.</w:t>
            </w:r>
          </w:p>
        </w:tc>
        <w:tc>
          <w:tcPr>
            <w:tcW w:w="1843"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Inkomati CMA</w:t>
            </w:r>
          </w:p>
        </w:tc>
        <w:tc>
          <w:tcPr>
            <w:tcW w:w="6966" w:type="dxa"/>
          </w:tcPr>
          <w:p w:rsidR="00A26090" w:rsidRPr="006D11CD" w:rsidRDefault="00A26090" w:rsidP="006D11CD">
            <w:pPr>
              <w:tabs>
                <w:tab w:val="left" w:pos="720"/>
                <w:tab w:val="left" w:pos="1701"/>
                <w:tab w:val="left" w:pos="3180"/>
              </w:tabs>
              <w:spacing w:before="100" w:beforeAutospacing="1" w:after="100" w:afterAutospacing="1"/>
              <w:ind w:right="54"/>
              <w:jc w:val="both"/>
              <w:rPr>
                <w:rFonts w:ascii="Arial" w:hAnsi="Arial" w:cs="Arial"/>
                <w:sz w:val="22"/>
                <w:szCs w:val="22"/>
                <w:lang w:val="en-ZA"/>
              </w:rPr>
            </w:pPr>
            <w:r w:rsidRPr="006D11CD">
              <w:rPr>
                <w:rFonts w:ascii="Arial" w:hAnsi="Arial" w:cs="Arial"/>
                <w:sz w:val="22"/>
                <w:szCs w:val="22"/>
                <w:lang w:val="en-ZA"/>
              </w:rPr>
              <w:t>(a)(ii) Red tape is defined as complicated official rules and regulations, especially when these are considered unnecessary: excessive bureaucracy</w:t>
            </w:r>
          </w:p>
          <w:p w:rsidR="00A26090" w:rsidRPr="006D11CD" w:rsidRDefault="00A26090" w:rsidP="006D11CD">
            <w:pPr>
              <w:tabs>
                <w:tab w:val="left" w:pos="720"/>
                <w:tab w:val="left" w:pos="1701"/>
                <w:tab w:val="left" w:pos="3180"/>
              </w:tabs>
              <w:spacing w:before="100" w:beforeAutospacing="1" w:after="100" w:afterAutospacing="1"/>
              <w:ind w:right="54"/>
              <w:jc w:val="both"/>
              <w:rPr>
                <w:rFonts w:ascii="Arial" w:hAnsi="Arial" w:cs="Arial"/>
                <w:sz w:val="22"/>
                <w:szCs w:val="22"/>
                <w:lang w:val="en-ZA"/>
              </w:rPr>
            </w:pPr>
            <w:r w:rsidRPr="006D11CD">
              <w:rPr>
                <w:rFonts w:ascii="Arial" w:hAnsi="Arial" w:cs="Arial"/>
                <w:sz w:val="22"/>
                <w:szCs w:val="22"/>
                <w:lang w:val="en-ZA"/>
              </w:rPr>
              <w:t>(b)</w:t>
            </w:r>
            <w:r w:rsidRPr="006D11CD">
              <w:rPr>
                <w:rFonts w:ascii="Arial" w:hAnsi="Arial" w:cs="Arial"/>
                <w:bCs/>
                <w:color w:val="000000"/>
                <w:sz w:val="22"/>
                <w:szCs w:val="22"/>
              </w:rPr>
              <w:t xml:space="preserve"> (i) (ii) (aa) (bb) </w:t>
            </w:r>
            <w:r w:rsidRPr="006D11CD">
              <w:rPr>
                <w:rFonts w:ascii="Arial" w:hAnsi="Arial" w:cs="Arial"/>
                <w:sz w:val="22"/>
                <w:szCs w:val="22"/>
                <w:lang w:val="en-ZA"/>
              </w:rPr>
              <w:t xml:space="preserve"> Not for the entities to respond to.</w:t>
            </w:r>
          </w:p>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(aaa) (bbb) N/A</w:t>
            </w:r>
          </w:p>
        </w:tc>
      </w:tr>
      <w:tr w:rsidR="00A26090" w:rsidRPr="0057542C" w:rsidTr="006D11CD">
        <w:tc>
          <w:tcPr>
            <w:tcW w:w="567"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bCs/>
                <w:sz w:val="22"/>
                <w:szCs w:val="22"/>
              </w:rPr>
              <w:t>13.</w:t>
            </w:r>
          </w:p>
        </w:tc>
        <w:tc>
          <w:tcPr>
            <w:tcW w:w="1843" w:type="dxa"/>
          </w:tcPr>
          <w:p w:rsidR="00A26090" w:rsidRPr="006D11CD" w:rsidRDefault="00A26090" w:rsidP="006D11CD">
            <w:pPr>
              <w:tabs>
                <w:tab w:val="left" w:pos="6105"/>
              </w:tabs>
              <w:jc w:val="both"/>
              <w:rPr>
                <w:rFonts w:ascii="Arial" w:hAnsi="Arial" w:cs="Arial"/>
                <w:bCs/>
                <w:sz w:val="22"/>
                <w:szCs w:val="22"/>
              </w:rPr>
            </w:pPr>
            <w:r w:rsidRPr="006D11CD">
              <w:rPr>
                <w:rFonts w:ascii="Arial" w:hAnsi="Arial" w:cs="Arial"/>
                <w:sz w:val="22"/>
                <w:szCs w:val="22"/>
              </w:rPr>
              <w:t>Breede-Gouritz</w:t>
            </w:r>
            <w:r w:rsidRPr="006D11CD">
              <w:rPr>
                <w:rFonts w:ascii="Arial" w:hAnsi="Arial" w:cs="Arial"/>
                <w:bCs/>
                <w:sz w:val="22"/>
                <w:szCs w:val="22"/>
              </w:rPr>
              <w:t xml:space="preserve"> CMA</w:t>
            </w:r>
          </w:p>
        </w:tc>
        <w:tc>
          <w:tcPr>
            <w:tcW w:w="6966" w:type="dxa"/>
          </w:tcPr>
          <w:p w:rsidR="00A26090" w:rsidRPr="006D11CD" w:rsidRDefault="00A26090" w:rsidP="006D11CD">
            <w:pPr>
              <w:spacing w:after="200"/>
              <w:jc w:val="both"/>
              <w:rPr>
                <w:rFonts w:ascii="Arial" w:hAnsi="Arial" w:cs="Arial"/>
                <w:sz w:val="22"/>
                <w:szCs w:val="22"/>
              </w:rPr>
            </w:pPr>
            <w:r w:rsidRPr="006D11CD">
              <w:rPr>
                <w:rFonts w:ascii="Arial" w:hAnsi="Arial" w:cs="Arial"/>
                <w:sz w:val="22"/>
                <w:szCs w:val="22"/>
              </w:rPr>
              <w:t>(a) (i) N/A (ii) The BGCMA defines red tape as excessive impediments that require compliance and conformity to formal rules either in terms of established rules within the organization, policy, compliance register, regulations, Treasury Instructions or applicable legislation. These impediments can prevent the BGCMA from making a timeous decision.</w:t>
            </w:r>
          </w:p>
          <w:p w:rsidR="00A26090" w:rsidRPr="006D11CD" w:rsidRDefault="00A26090" w:rsidP="006D11CD">
            <w:pPr>
              <w:spacing w:after="200"/>
              <w:jc w:val="both"/>
              <w:rPr>
                <w:rFonts w:ascii="Arial" w:hAnsi="Arial" w:cs="Arial"/>
                <w:sz w:val="22"/>
                <w:szCs w:val="22"/>
              </w:rPr>
            </w:pPr>
            <w:r w:rsidRPr="006D11CD">
              <w:rPr>
                <w:rFonts w:ascii="Arial" w:hAnsi="Arial" w:cs="Arial"/>
                <w:sz w:val="22"/>
                <w:szCs w:val="22"/>
              </w:rPr>
              <w:t>(b)(i) If it is a rule or policy the BGCMA applies either a deviation route having obtained the necessary approvals but if it is the legislation there is strict compliance.</w:t>
            </w:r>
          </w:p>
          <w:p w:rsidR="00A26090" w:rsidRPr="006D11CD" w:rsidRDefault="00A26090" w:rsidP="006D11CD">
            <w:pPr>
              <w:pStyle w:val="ListParagraph"/>
              <w:ind w:left="34"/>
              <w:jc w:val="both"/>
              <w:rPr>
                <w:rFonts w:ascii="Arial" w:hAnsi="Arial" w:cs="Arial"/>
                <w:sz w:val="22"/>
                <w:szCs w:val="22"/>
              </w:rPr>
            </w:pPr>
            <w:r w:rsidRPr="006D11CD">
              <w:rPr>
                <w:rFonts w:ascii="Arial" w:hAnsi="Arial" w:cs="Arial"/>
                <w:sz w:val="22"/>
                <w:szCs w:val="22"/>
              </w:rPr>
              <w:t>(ii)The performance process flow and compliance register define and identify areas of compliance plus the extent required to implement those.</w:t>
            </w:r>
          </w:p>
          <w:p w:rsidR="00A26090" w:rsidRPr="006D11CD" w:rsidRDefault="00A26090" w:rsidP="006D11CD">
            <w:pPr>
              <w:pStyle w:val="ListParagraph"/>
              <w:ind w:left="34"/>
              <w:jc w:val="both"/>
              <w:rPr>
                <w:rFonts w:ascii="Arial" w:hAnsi="Arial" w:cs="Arial"/>
                <w:sz w:val="22"/>
                <w:szCs w:val="22"/>
              </w:rPr>
            </w:pPr>
            <w:r w:rsidRPr="006D11CD">
              <w:rPr>
                <w:rFonts w:ascii="Arial" w:hAnsi="Arial" w:cs="Arial"/>
                <w:sz w:val="22"/>
                <w:szCs w:val="22"/>
              </w:rPr>
              <w:t>(bb) Depending on the nature of red tape, relevant officials are given specific delegations and if it is a governance issue the Board or the Minister is approached.</w:t>
            </w:r>
          </w:p>
          <w:p w:rsidR="00A26090" w:rsidRPr="006D11CD" w:rsidRDefault="00A26090" w:rsidP="006D11CD">
            <w:pPr>
              <w:pStyle w:val="ListParagraph"/>
              <w:ind w:left="34"/>
              <w:jc w:val="both"/>
              <w:rPr>
                <w:rFonts w:ascii="Arial" w:hAnsi="Arial" w:cs="Arial"/>
                <w:sz w:val="22"/>
                <w:szCs w:val="22"/>
              </w:rPr>
            </w:pPr>
            <w:r w:rsidRPr="006D11CD">
              <w:rPr>
                <w:rFonts w:ascii="Arial" w:hAnsi="Arial" w:cs="Arial"/>
                <w:bCs/>
                <w:sz w:val="22"/>
                <w:szCs w:val="22"/>
              </w:rPr>
              <w:t>(aaa) (bbb) N/A</w:t>
            </w:r>
          </w:p>
        </w:tc>
      </w:tr>
    </w:tbl>
    <w:p w:rsidR="00A26090" w:rsidRPr="0057542C" w:rsidRDefault="00A26090" w:rsidP="00584E21">
      <w:pPr>
        <w:tabs>
          <w:tab w:val="left" w:pos="6105"/>
        </w:tabs>
        <w:jc w:val="both"/>
        <w:rPr>
          <w:rFonts w:ascii="Arial" w:hAnsi="Arial" w:cs="Arial"/>
          <w:b/>
          <w:bCs/>
          <w:sz w:val="22"/>
          <w:szCs w:val="22"/>
        </w:rPr>
      </w:pPr>
    </w:p>
    <w:p w:rsidR="00A26090" w:rsidRDefault="00A26090">
      <w:pPr>
        <w:tabs>
          <w:tab w:val="left" w:pos="540"/>
          <w:tab w:val="left" w:pos="1080"/>
        </w:tabs>
        <w:jc w:val="center"/>
        <w:rPr>
          <w:rFonts w:ascii="Arial" w:hAnsi="Arial" w:cs="Arial"/>
          <w:bCs/>
          <w:sz w:val="22"/>
          <w:szCs w:val="22"/>
          <w:lang w:val="pt-BR"/>
        </w:rPr>
      </w:pPr>
      <w:r w:rsidRPr="0057542C">
        <w:rPr>
          <w:rFonts w:ascii="Arial" w:hAnsi="Arial" w:cs="Arial"/>
          <w:bCs/>
          <w:sz w:val="22"/>
          <w:szCs w:val="22"/>
          <w:lang w:val="pt-BR"/>
        </w:rPr>
        <w:t>---00O00---</w:t>
      </w:r>
    </w:p>
    <w:p w:rsidR="00A26090" w:rsidRPr="0057542C" w:rsidRDefault="00A26090" w:rsidP="00BB0E8E">
      <w:pPr>
        <w:tabs>
          <w:tab w:val="left" w:pos="540"/>
          <w:tab w:val="left" w:pos="1080"/>
        </w:tabs>
        <w:jc w:val="both"/>
        <w:rPr>
          <w:rFonts w:ascii="Arial" w:hAnsi="Arial" w:cs="Arial"/>
          <w:bCs/>
          <w:sz w:val="22"/>
          <w:szCs w:val="22"/>
          <w:lang w:val="pt-BR"/>
        </w:rPr>
      </w:pPr>
    </w:p>
    <w:sectPr w:rsidR="00A26090" w:rsidRPr="0057542C" w:rsidSect="00E2228D">
      <w:headerReference w:type="even" r:id="rId9"/>
      <w:footerReference w:type="default" r:id="rId10"/>
      <w:headerReference w:type="first" r:id="rId11"/>
      <w:footerReference w:type="first" r:id="rId12"/>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090" w:rsidRDefault="00A26090">
      <w:r>
        <w:separator/>
      </w:r>
    </w:p>
  </w:endnote>
  <w:endnote w:type="continuationSeparator" w:id="0">
    <w:p w:rsidR="00A26090" w:rsidRDefault="00A26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90" w:rsidRPr="002B3F42" w:rsidRDefault="00A2609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3063</w:t>
    </w:r>
    <w:r>
      <w:rPr>
        <w:rFonts w:ascii="Arial" w:hAnsi="Arial" w:cs="Arial"/>
        <w:sz w:val="16"/>
        <w:szCs w:val="16"/>
      </w:rPr>
      <w:tab/>
    </w:r>
    <w:r>
      <w:rPr>
        <w:rFonts w:ascii="Arial" w:hAnsi="Arial" w:cs="Arial"/>
        <w:sz w:val="16"/>
        <w:szCs w:val="16"/>
      </w:rPr>
      <w:tab/>
      <w:t>NW3604E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90" w:rsidRDefault="00A26090">
    <w:pPr>
      <w:pStyle w:val="Footer"/>
      <w:rPr>
        <w:rFonts w:ascii="Arial" w:hAnsi="Arial" w:cs="Arial"/>
        <w:sz w:val="16"/>
        <w:szCs w:val="16"/>
      </w:rPr>
    </w:pPr>
  </w:p>
  <w:p w:rsidR="00A26090" w:rsidRPr="002B3F42" w:rsidRDefault="00A26090"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3063</w:t>
    </w:r>
    <w:r>
      <w:rPr>
        <w:rFonts w:ascii="Arial" w:hAnsi="Arial" w:cs="Arial"/>
        <w:sz w:val="16"/>
        <w:szCs w:val="16"/>
      </w:rPr>
      <w:tab/>
    </w:r>
    <w:r>
      <w:rPr>
        <w:rFonts w:ascii="Arial" w:hAnsi="Arial" w:cs="Arial"/>
        <w:sz w:val="16"/>
        <w:szCs w:val="16"/>
      </w:rPr>
      <w:tab/>
      <w:t>NW3604E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090" w:rsidRDefault="00A26090">
      <w:r>
        <w:separator/>
      </w:r>
    </w:p>
  </w:footnote>
  <w:footnote w:type="continuationSeparator" w:id="0">
    <w:p w:rsidR="00A26090" w:rsidRDefault="00A26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90" w:rsidRDefault="00A26090"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6090" w:rsidRDefault="00A260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90" w:rsidRPr="00A2406A" w:rsidRDefault="00A26090" w:rsidP="00DD04B1">
    <w:pPr>
      <w:pStyle w:val="Header"/>
      <w:jc w:val="center"/>
      <w:rPr>
        <w:rFonts w:ascii="Arial" w:hAnsi="Arial" w:cs="Arial"/>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1CA46475"/>
    <w:multiLevelType w:val="hybridMultilevel"/>
    <w:tmpl w:val="547C6DE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6">
    <w:nsid w:val="24FD49FA"/>
    <w:multiLevelType w:val="hybridMultilevel"/>
    <w:tmpl w:val="323C71CC"/>
    <w:lvl w:ilvl="0" w:tplc="516E6E0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53934BB"/>
    <w:multiLevelType w:val="hybridMultilevel"/>
    <w:tmpl w:val="ACE6A2E4"/>
    <w:lvl w:ilvl="0" w:tplc="FE824CD2">
      <w:start w:val="1"/>
      <w:numFmt w:val="lowerLetter"/>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2C3B7CAC"/>
    <w:multiLevelType w:val="hybridMultilevel"/>
    <w:tmpl w:val="08D04E7C"/>
    <w:lvl w:ilvl="0" w:tplc="293A20A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906691A"/>
    <w:multiLevelType w:val="hybridMultilevel"/>
    <w:tmpl w:val="ACEC8E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2">
    <w:nsid w:val="57E36CE2"/>
    <w:multiLevelType w:val="multilevel"/>
    <w:tmpl w:val="B3D6BA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8061BA3"/>
    <w:multiLevelType w:val="hybridMultilevel"/>
    <w:tmpl w:val="CD941DE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8"/>
  </w:num>
  <w:num w:numId="3">
    <w:abstractNumId w:val="14"/>
  </w:num>
  <w:num w:numId="4">
    <w:abstractNumId w:val="2"/>
  </w:num>
  <w:num w:numId="5">
    <w:abstractNumId w:val="3"/>
  </w:num>
  <w:num w:numId="6">
    <w:abstractNumId w:val="11"/>
  </w:num>
  <w:num w:numId="7">
    <w:abstractNumId w:val="0"/>
  </w:num>
  <w:num w:numId="8">
    <w:abstractNumId w:val="5"/>
  </w:num>
  <w:num w:numId="9">
    <w:abstractNumId w:val="4"/>
  </w:num>
  <w:num w:numId="10">
    <w:abstractNumId w:val="10"/>
  </w:num>
  <w:num w:numId="11">
    <w:abstractNumId w:val="9"/>
  </w:num>
  <w:num w:numId="12">
    <w:abstractNumId w:val="12"/>
  </w:num>
  <w:num w:numId="13">
    <w:abstractNumId w:val="6"/>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44B1"/>
    <w:rsid w:val="000157A1"/>
    <w:rsid w:val="00017DD1"/>
    <w:rsid w:val="0002605A"/>
    <w:rsid w:val="00027ECA"/>
    <w:rsid w:val="00031D3E"/>
    <w:rsid w:val="000329E7"/>
    <w:rsid w:val="00035B54"/>
    <w:rsid w:val="00036790"/>
    <w:rsid w:val="000367EA"/>
    <w:rsid w:val="000468E6"/>
    <w:rsid w:val="000475B5"/>
    <w:rsid w:val="00050C32"/>
    <w:rsid w:val="000520E5"/>
    <w:rsid w:val="0005530F"/>
    <w:rsid w:val="00056113"/>
    <w:rsid w:val="000614F2"/>
    <w:rsid w:val="00062286"/>
    <w:rsid w:val="00072352"/>
    <w:rsid w:val="00075C08"/>
    <w:rsid w:val="000772AF"/>
    <w:rsid w:val="00081E70"/>
    <w:rsid w:val="00086AF5"/>
    <w:rsid w:val="00087F8A"/>
    <w:rsid w:val="00090929"/>
    <w:rsid w:val="000910A6"/>
    <w:rsid w:val="0009164F"/>
    <w:rsid w:val="000938BC"/>
    <w:rsid w:val="000939A3"/>
    <w:rsid w:val="000961D4"/>
    <w:rsid w:val="000A1BD6"/>
    <w:rsid w:val="000B1030"/>
    <w:rsid w:val="000B5E49"/>
    <w:rsid w:val="000B7476"/>
    <w:rsid w:val="000B74AD"/>
    <w:rsid w:val="000C3CE2"/>
    <w:rsid w:val="000C4C94"/>
    <w:rsid w:val="000C5219"/>
    <w:rsid w:val="000D2600"/>
    <w:rsid w:val="000D2A0D"/>
    <w:rsid w:val="000D3512"/>
    <w:rsid w:val="000D40B7"/>
    <w:rsid w:val="000D5969"/>
    <w:rsid w:val="000E41F5"/>
    <w:rsid w:val="000F3C90"/>
    <w:rsid w:val="000F5ACE"/>
    <w:rsid w:val="000F5B12"/>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021E"/>
    <w:rsid w:val="00194434"/>
    <w:rsid w:val="00194E18"/>
    <w:rsid w:val="001962FE"/>
    <w:rsid w:val="00196EFD"/>
    <w:rsid w:val="001A0035"/>
    <w:rsid w:val="001A06B1"/>
    <w:rsid w:val="001B6327"/>
    <w:rsid w:val="001B6885"/>
    <w:rsid w:val="001C5CAE"/>
    <w:rsid w:val="001C6CDB"/>
    <w:rsid w:val="001D03EF"/>
    <w:rsid w:val="001D3462"/>
    <w:rsid w:val="001E2E6F"/>
    <w:rsid w:val="001E3570"/>
    <w:rsid w:val="001E4A62"/>
    <w:rsid w:val="001F3C73"/>
    <w:rsid w:val="001F6A53"/>
    <w:rsid w:val="00201F06"/>
    <w:rsid w:val="00202E44"/>
    <w:rsid w:val="0020507E"/>
    <w:rsid w:val="00210AC7"/>
    <w:rsid w:val="00211B7A"/>
    <w:rsid w:val="0021410C"/>
    <w:rsid w:val="00214C07"/>
    <w:rsid w:val="00223893"/>
    <w:rsid w:val="002238F0"/>
    <w:rsid w:val="002326D5"/>
    <w:rsid w:val="002451BE"/>
    <w:rsid w:val="00245891"/>
    <w:rsid w:val="00245EC0"/>
    <w:rsid w:val="00246D87"/>
    <w:rsid w:val="00255C22"/>
    <w:rsid w:val="00255D67"/>
    <w:rsid w:val="00255D9D"/>
    <w:rsid w:val="00261779"/>
    <w:rsid w:val="002628DA"/>
    <w:rsid w:val="00262B8B"/>
    <w:rsid w:val="00262DEA"/>
    <w:rsid w:val="002810AB"/>
    <w:rsid w:val="00284F10"/>
    <w:rsid w:val="0029143B"/>
    <w:rsid w:val="00295291"/>
    <w:rsid w:val="002A053D"/>
    <w:rsid w:val="002A24D5"/>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E6903"/>
    <w:rsid w:val="002F0CFE"/>
    <w:rsid w:val="002F2084"/>
    <w:rsid w:val="002F68D5"/>
    <w:rsid w:val="003016A3"/>
    <w:rsid w:val="0031753D"/>
    <w:rsid w:val="003175DB"/>
    <w:rsid w:val="00320732"/>
    <w:rsid w:val="00321778"/>
    <w:rsid w:val="00322BDC"/>
    <w:rsid w:val="00323916"/>
    <w:rsid w:val="00330424"/>
    <w:rsid w:val="003358E6"/>
    <w:rsid w:val="003375A7"/>
    <w:rsid w:val="003407C4"/>
    <w:rsid w:val="00342459"/>
    <w:rsid w:val="00347612"/>
    <w:rsid w:val="0035000E"/>
    <w:rsid w:val="00355562"/>
    <w:rsid w:val="0036181E"/>
    <w:rsid w:val="003635E7"/>
    <w:rsid w:val="00363865"/>
    <w:rsid w:val="00365608"/>
    <w:rsid w:val="00366E7A"/>
    <w:rsid w:val="003749BC"/>
    <w:rsid w:val="00375B0B"/>
    <w:rsid w:val="0037707B"/>
    <w:rsid w:val="003856A3"/>
    <w:rsid w:val="00390B02"/>
    <w:rsid w:val="00391147"/>
    <w:rsid w:val="00397E81"/>
    <w:rsid w:val="003A040E"/>
    <w:rsid w:val="003A0E8D"/>
    <w:rsid w:val="003A2E6D"/>
    <w:rsid w:val="003A5705"/>
    <w:rsid w:val="003A6A79"/>
    <w:rsid w:val="003A6E69"/>
    <w:rsid w:val="003B3191"/>
    <w:rsid w:val="003B5F54"/>
    <w:rsid w:val="003B662C"/>
    <w:rsid w:val="003C0224"/>
    <w:rsid w:val="003C184D"/>
    <w:rsid w:val="003C2138"/>
    <w:rsid w:val="003C569E"/>
    <w:rsid w:val="003C6EAE"/>
    <w:rsid w:val="003C7751"/>
    <w:rsid w:val="003D1219"/>
    <w:rsid w:val="003D79E3"/>
    <w:rsid w:val="003E0A38"/>
    <w:rsid w:val="003E3484"/>
    <w:rsid w:val="003E5759"/>
    <w:rsid w:val="003F20AB"/>
    <w:rsid w:val="003F30C2"/>
    <w:rsid w:val="003F41FD"/>
    <w:rsid w:val="004028C5"/>
    <w:rsid w:val="004029B9"/>
    <w:rsid w:val="00403AFE"/>
    <w:rsid w:val="004077D6"/>
    <w:rsid w:val="00410915"/>
    <w:rsid w:val="004125D0"/>
    <w:rsid w:val="004148A5"/>
    <w:rsid w:val="004177F6"/>
    <w:rsid w:val="00423103"/>
    <w:rsid w:val="004255F2"/>
    <w:rsid w:val="004305FF"/>
    <w:rsid w:val="0043569E"/>
    <w:rsid w:val="00440394"/>
    <w:rsid w:val="00440927"/>
    <w:rsid w:val="004456E6"/>
    <w:rsid w:val="004476B1"/>
    <w:rsid w:val="004521C1"/>
    <w:rsid w:val="004542D2"/>
    <w:rsid w:val="00460F03"/>
    <w:rsid w:val="00461043"/>
    <w:rsid w:val="00464677"/>
    <w:rsid w:val="0046758B"/>
    <w:rsid w:val="00467D5C"/>
    <w:rsid w:val="00472ECA"/>
    <w:rsid w:val="0047697D"/>
    <w:rsid w:val="00476F6C"/>
    <w:rsid w:val="00481CC0"/>
    <w:rsid w:val="00485CC3"/>
    <w:rsid w:val="0048783B"/>
    <w:rsid w:val="00492D1C"/>
    <w:rsid w:val="004979A7"/>
    <w:rsid w:val="004A02D1"/>
    <w:rsid w:val="004A3B45"/>
    <w:rsid w:val="004A55BC"/>
    <w:rsid w:val="004A63AB"/>
    <w:rsid w:val="004A770F"/>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4D5B"/>
    <w:rsid w:val="00526C0B"/>
    <w:rsid w:val="00527BD6"/>
    <w:rsid w:val="0053243D"/>
    <w:rsid w:val="0053388D"/>
    <w:rsid w:val="00536283"/>
    <w:rsid w:val="005379E1"/>
    <w:rsid w:val="00540715"/>
    <w:rsid w:val="005444FD"/>
    <w:rsid w:val="005527B5"/>
    <w:rsid w:val="00554D6D"/>
    <w:rsid w:val="00556FF7"/>
    <w:rsid w:val="00560071"/>
    <w:rsid w:val="00572BA8"/>
    <w:rsid w:val="00574A31"/>
    <w:rsid w:val="00574A4D"/>
    <w:rsid w:val="005752DE"/>
    <w:rsid w:val="0057542C"/>
    <w:rsid w:val="00575F27"/>
    <w:rsid w:val="005837F8"/>
    <w:rsid w:val="00583A1F"/>
    <w:rsid w:val="00583E2D"/>
    <w:rsid w:val="005841EB"/>
    <w:rsid w:val="00584E21"/>
    <w:rsid w:val="00585750"/>
    <w:rsid w:val="00585780"/>
    <w:rsid w:val="0059008E"/>
    <w:rsid w:val="00590D8A"/>
    <w:rsid w:val="00591F4C"/>
    <w:rsid w:val="005978E1"/>
    <w:rsid w:val="005A1EE0"/>
    <w:rsid w:val="005B15A3"/>
    <w:rsid w:val="005B7358"/>
    <w:rsid w:val="005B7A58"/>
    <w:rsid w:val="005C771C"/>
    <w:rsid w:val="005D291A"/>
    <w:rsid w:val="005D6B20"/>
    <w:rsid w:val="005D7DEF"/>
    <w:rsid w:val="005E3AD0"/>
    <w:rsid w:val="005E59AA"/>
    <w:rsid w:val="005E63F4"/>
    <w:rsid w:val="005F04C8"/>
    <w:rsid w:val="005F1970"/>
    <w:rsid w:val="005F26CC"/>
    <w:rsid w:val="005F3CBB"/>
    <w:rsid w:val="005F7852"/>
    <w:rsid w:val="00602413"/>
    <w:rsid w:val="00602470"/>
    <w:rsid w:val="00602BB6"/>
    <w:rsid w:val="00603843"/>
    <w:rsid w:val="0060724E"/>
    <w:rsid w:val="00607D1B"/>
    <w:rsid w:val="00611412"/>
    <w:rsid w:val="006115A5"/>
    <w:rsid w:val="0061211C"/>
    <w:rsid w:val="0061567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5942"/>
    <w:rsid w:val="00676E63"/>
    <w:rsid w:val="00677C2D"/>
    <w:rsid w:val="006845E1"/>
    <w:rsid w:val="006911C2"/>
    <w:rsid w:val="00691935"/>
    <w:rsid w:val="0069377A"/>
    <w:rsid w:val="00696BD5"/>
    <w:rsid w:val="006A1BF0"/>
    <w:rsid w:val="006A2910"/>
    <w:rsid w:val="006A467A"/>
    <w:rsid w:val="006B01B0"/>
    <w:rsid w:val="006B1185"/>
    <w:rsid w:val="006B25FC"/>
    <w:rsid w:val="006B6C77"/>
    <w:rsid w:val="006B6DB4"/>
    <w:rsid w:val="006C11DF"/>
    <w:rsid w:val="006C3144"/>
    <w:rsid w:val="006C5B91"/>
    <w:rsid w:val="006C6C31"/>
    <w:rsid w:val="006D0494"/>
    <w:rsid w:val="006D11CD"/>
    <w:rsid w:val="006D77BB"/>
    <w:rsid w:val="006E192A"/>
    <w:rsid w:val="006E5FE8"/>
    <w:rsid w:val="006F4F50"/>
    <w:rsid w:val="006F6EBB"/>
    <w:rsid w:val="006F76F3"/>
    <w:rsid w:val="0070051C"/>
    <w:rsid w:val="00703610"/>
    <w:rsid w:val="00706C42"/>
    <w:rsid w:val="00712D32"/>
    <w:rsid w:val="00717563"/>
    <w:rsid w:val="00717784"/>
    <w:rsid w:val="00720134"/>
    <w:rsid w:val="00722987"/>
    <w:rsid w:val="0072640C"/>
    <w:rsid w:val="00727E0C"/>
    <w:rsid w:val="00730B5C"/>
    <w:rsid w:val="00734C5B"/>
    <w:rsid w:val="007427E5"/>
    <w:rsid w:val="00752BD6"/>
    <w:rsid w:val="007558EF"/>
    <w:rsid w:val="00763D6F"/>
    <w:rsid w:val="00770713"/>
    <w:rsid w:val="00773936"/>
    <w:rsid w:val="00774A4F"/>
    <w:rsid w:val="007761D2"/>
    <w:rsid w:val="007774DA"/>
    <w:rsid w:val="00782064"/>
    <w:rsid w:val="0078394E"/>
    <w:rsid w:val="0078540A"/>
    <w:rsid w:val="00787F2E"/>
    <w:rsid w:val="00796C45"/>
    <w:rsid w:val="007A2D8A"/>
    <w:rsid w:val="007A3C6C"/>
    <w:rsid w:val="007A4569"/>
    <w:rsid w:val="007A5D6D"/>
    <w:rsid w:val="007B1B06"/>
    <w:rsid w:val="007B2D7B"/>
    <w:rsid w:val="007B58C8"/>
    <w:rsid w:val="007B7BE5"/>
    <w:rsid w:val="007C0783"/>
    <w:rsid w:val="007C3FE9"/>
    <w:rsid w:val="007C754A"/>
    <w:rsid w:val="007D09A5"/>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72F8A"/>
    <w:rsid w:val="00873284"/>
    <w:rsid w:val="0087348E"/>
    <w:rsid w:val="0087537C"/>
    <w:rsid w:val="008755B0"/>
    <w:rsid w:val="00875B31"/>
    <w:rsid w:val="008818FA"/>
    <w:rsid w:val="0088398E"/>
    <w:rsid w:val="00883CC3"/>
    <w:rsid w:val="00883D07"/>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073B"/>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B5CFE"/>
    <w:rsid w:val="009C0876"/>
    <w:rsid w:val="009C317A"/>
    <w:rsid w:val="009C6B34"/>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065A"/>
    <w:rsid w:val="00A12676"/>
    <w:rsid w:val="00A12A0A"/>
    <w:rsid w:val="00A1648A"/>
    <w:rsid w:val="00A16DB1"/>
    <w:rsid w:val="00A177CF"/>
    <w:rsid w:val="00A17903"/>
    <w:rsid w:val="00A2406A"/>
    <w:rsid w:val="00A26090"/>
    <w:rsid w:val="00A31282"/>
    <w:rsid w:val="00A3272D"/>
    <w:rsid w:val="00A34652"/>
    <w:rsid w:val="00A367C9"/>
    <w:rsid w:val="00A43338"/>
    <w:rsid w:val="00A44BC5"/>
    <w:rsid w:val="00A4641B"/>
    <w:rsid w:val="00A46750"/>
    <w:rsid w:val="00A47243"/>
    <w:rsid w:val="00A479C6"/>
    <w:rsid w:val="00A55BCF"/>
    <w:rsid w:val="00A560A2"/>
    <w:rsid w:val="00A6020A"/>
    <w:rsid w:val="00A62452"/>
    <w:rsid w:val="00A6340A"/>
    <w:rsid w:val="00A63AD5"/>
    <w:rsid w:val="00A70AC8"/>
    <w:rsid w:val="00A81814"/>
    <w:rsid w:val="00A946D0"/>
    <w:rsid w:val="00A96EED"/>
    <w:rsid w:val="00AA298E"/>
    <w:rsid w:val="00AA2D12"/>
    <w:rsid w:val="00AA51A1"/>
    <w:rsid w:val="00AB02C2"/>
    <w:rsid w:val="00AC0CBA"/>
    <w:rsid w:val="00AC3702"/>
    <w:rsid w:val="00AC480C"/>
    <w:rsid w:val="00AC7CB8"/>
    <w:rsid w:val="00AD0539"/>
    <w:rsid w:val="00AD06C2"/>
    <w:rsid w:val="00AD0AB6"/>
    <w:rsid w:val="00AE0716"/>
    <w:rsid w:val="00AE1F25"/>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2BFD"/>
    <w:rsid w:val="00B252E7"/>
    <w:rsid w:val="00B26C02"/>
    <w:rsid w:val="00B31D48"/>
    <w:rsid w:val="00B32091"/>
    <w:rsid w:val="00B338FC"/>
    <w:rsid w:val="00B33DBA"/>
    <w:rsid w:val="00B3471D"/>
    <w:rsid w:val="00B35FF3"/>
    <w:rsid w:val="00B373A8"/>
    <w:rsid w:val="00B37FDB"/>
    <w:rsid w:val="00B41095"/>
    <w:rsid w:val="00B431B2"/>
    <w:rsid w:val="00B50C14"/>
    <w:rsid w:val="00B52B1B"/>
    <w:rsid w:val="00B5373C"/>
    <w:rsid w:val="00B64DBD"/>
    <w:rsid w:val="00B66474"/>
    <w:rsid w:val="00B67A15"/>
    <w:rsid w:val="00B7476D"/>
    <w:rsid w:val="00B75C60"/>
    <w:rsid w:val="00B829FF"/>
    <w:rsid w:val="00B83118"/>
    <w:rsid w:val="00B84851"/>
    <w:rsid w:val="00B84CC2"/>
    <w:rsid w:val="00B8630A"/>
    <w:rsid w:val="00B87386"/>
    <w:rsid w:val="00B902E5"/>
    <w:rsid w:val="00B924C2"/>
    <w:rsid w:val="00B92AC7"/>
    <w:rsid w:val="00B972CE"/>
    <w:rsid w:val="00BA386D"/>
    <w:rsid w:val="00BA46A6"/>
    <w:rsid w:val="00BA5B19"/>
    <w:rsid w:val="00BA78FB"/>
    <w:rsid w:val="00BB0E8E"/>
    <w:rsid w:val="00BB3767"/>
    <w:rsid w:val="00BB5BFB"/>
    <w:rsid w:val="00BB7C07"/>
    <w:rsid w:val="00BC2D97"/>
    <w:rsid w:val="00BC71EF"/>
    <w:rsid w:val="00BC77A8"/>
    <w:rsid w:val="00BD403F"/>
    <w:rsid w:val="00BD597D"/>
    <w:rsid w:val="00BD65EF"/>
    <w:rsid w:val="00BE3822"/>
    <w:rsid w:val="00BE40FF"/>
    <w:rsid w:val="00BF06B9"/>
    <w:rsid w:val="00BF16A4"/>
    <w:rsid w:val="00C01DB2"/>
    <w:rsid w:val="00C06F36"/>
    <w:rsid w:val="00C11AB3"/>
    <w:rsid w:val="00C179BF"/>
    <w:rsid w:val="00C205F2"/>
    <w:rsid w:val="00C2124A"/>
    <w:rsid w:val="00C228E8"/>
    <w:rsid w:val="00C25C37"/>
    <w:rsid w:val="00C27D1E"/>
    <w:rsid w:val="00C30FCA"/>
    <w:rsid w:val="00C3134A"/>
    <w:rsid w:val="00C325D7"/>
    <w:rsid w:val="00C32D13"/>
    <w:rsid w:val="00C32FF7"/>
    <w:rsid w:val="00C34D0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76D1"/>
    <w:rsid w:val="00CA02FD"/>
    <w:rsid w:val="00CA2E3F"/>
    <w:rsid w:val="00CA6270"/>
    <w:rsid w:val="00CC0595"/>
    <w:rsid w:val="00CC596F"/>
    <w:rsid w:val="00CC6079"/>
    <w:rsid w:val="00CD42FF"/>
    <w:rsid w:val="00CE0DE6"/>
    <w:rsid w:val="00CE3C28"/>
    <w:rsid w:val="00CE4088"/>
    <w:rsid w:val="00CF2D28"/>
    <w:rsid w:val="00CF78B0"/>
    <w:rsid w:val="00D050AE"/>
    <w:rsid w:val="00D1117B"/>
    <w:rsid w:val="00D11B5A"/>
    <w:rsid w:val="00D139C7"/>
    <w:rsid w:val="00D15004"/>
    <w:rsid w:val="00D23D9E"/>
    <w:rsid w:val="00D2460C"/>
    <w:rsid w:val="00D25017"/>
    <w:rsid w:val="00D31F26"/>
    <w:rsid w:val="00D33E87"/>
    <w:rsid w:val="00D362F0"/>
    <w:rsid w:val="00D40BB1"/>
    <w:rsid w:val="00D40BE8"/>
    <w:rsid w:val="00D455F2"/>
    <w:rsid w:val="00D52BE0"/>
    <w:rsid w:val="00D53338"/>
    <w:rsid w:val="00D5340E"/>
    <w:rsid w:val="00D56138"/>
    <w:rsid w:val="00D611BB"/>
    <w:rsid w:val="00D668C8"/>
    <w:rsid w:val="00D67222"/>
    <w:rsid w:val="00D70942"/>
    <w:rsid w:val="00D73CC0"/>
    <w:rsid w:val="00D75865"/>
    <w:rsid w:val="00D76C17"/>
    <w:rsid w:val="00D84B1A"/>
    <w:rsid w:val="00D851B1"/>
    <w:rsid w:val="00DA1226"/>
    <w:rsid w:val="00DA5ABA"/>
    <w:rsid w:val="00DA5BF5"/>
    <w:rsid w:val="00DB2AE8"/>
    <w:rsid w:val="00DB56B2"/>
    <w:rsid w:val="00DB5D0C"/>
    <w:rsid w:val="00DB6184"/>
    <w:rsid w:val="00DC0AD2"/>
    <w:rsid w:val="00DC205E"/>
    <w:rsid w:val="00DC3335"/>
    <w:rsid w:val="00DC4C64"/>
    <w:rsid w:val="00DD04B1"/>
    <w:rsid w:val="00DD0884"/>
    <w:rsid w:val="00DD307F"/>
    <w:rsid w:val="00DD4001"/>
    <w:rsid w:val="00DD43F8"/>
    <w:rsid w:val="00DE5267"/>
    <w:rsid w:val="00DF04F3"/>
    <w:rsid w:val="00DF0518"/>
    <w:rsid w:val="00DF4239"/>
    <w:rsid w:val="00DF4C1C"/>
    <w:rsid w:val="00E010BD"/>
    <w:rsid w:val="00E068C5"/>
    <w:rsid w:val="00E1610E"/>
    <w:rsid w:val="00E2228D"/>
    <w:rsid w:val="00E24799"/>
    <w:rsid w:val="00E25606"/>
    <w:rsid w:val="00E358D4"/>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2156"/>
    <w:rsid w:val="00ED72C3"/>
    <w:rsid w:val="00EE0081"/>
    <w:rsid w:val="00EE0403"/>
    <w:rsid w:val="00EE143A"/>
    <w:rsid w:val="00EE54F4"/>
    <w:rsid w:val="00EE6781"/>
    <w:rsid w:val="00EF4888"/>
    <w:rsid w:val="00EF4AAD"/>
    <w:rsid w:val="00EF7FFE"/>
    <w:rsid w:val="00F0437A"/>
    <w:rsid w:val="00F06879"/>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6C2F"/>
    <w:rsid w:val="00F77009"/>
    <w:rsid w:val="00F80FD5"/>
    <w:rsid w:val="00F8107A"/>
    <w:rsid w:val="00F925E5"/>
    <w:rsid w:val="00F93F7E"/>
    <w:rsid w:val="00F94BEB"/>
    <w:rsid w:val="00F95837"/>
    <w:rsid w:val="00FA1357"/>
    <w:rsid w:val="00FA432A"/>
    <w:rsid w:val="00FA44E3"/>
    <w:rsid w:val="00FB38ED"/>
    <w:rsid w:val="00FB771F"/>
    <w:rsid w:val="00FC0F67"/>
    <w:rsid w:val="00FC53C3"/>
    <w:rsid w:val="00FD0650"/>
    <w:rsid w:val="00FD5B14"/>
    <w:rsid w:val="00FD5EBC"/>
    <w:rsid w:val="00FE2FAF"/>
    <w:rsid w:val="00FE33BB"/>
    <w:rsid w:val="00FE45A4"/>
    <w:rsid w:val="00FE5970"/>
    <w:rsid w:val="00FF41F6"/>
    <w:rsid w:val="00FF5848"/>
    <w:rsid w:val="00FF5A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614957"/>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614957"/>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614957"/>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614957"/>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614957"/>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ssens">
    <w:name w:val="ssens"/>
    <w:basedOn w:val="DefaultParagraphFont"/>
    <w:uiPriority w:val="99"/>
    <w:rsid w:val="00B924C2"/>
    <w:rPr>
      <w:rFonts w:cs="Times New Roman"/>
    </w:rPr>
  </w:style>
  <w:style w:type="paragraph" w:styleId="CommentSubject">
    <w:name w:val="annotation subject"/>
    <w:basedOn w:val="CommentText"/>
    <w:next w:val="CommentText"/>
    <w:link w:val="CommentSubjectChar"/>
    <w:uiPriority w:val="99"/>
    <w:rsid w:val="00017DD1"/>
    <w:rPr>
      <w:b/>
      <w:bCs/>
    </w:rPr>
  </w:style>
  <w:style w:type="character" w:customStyle="1" w:styleId="CommentSubjectChar">
    <w:name w:val="Comment Subject Char"/>
    <w:basedOn w:val="CommentTextChar"/>
    <w:link w:val="CommentSubject"/>
    <w:uiPriority w:val="99"/>
    <w:locked/>
    <w:rsid w:val="00017DD1"/>
    <w:rPr>
      <w:b/>
      <w:bCs/>
    </w:rPr>
  </w:style>
  <w:style w:type="paragraph" w:styleId="Revision">
    <w:name w:val="Revision"/>
    <w:hidden/>
    <w:uiPriority w:val="99"/>
    <w:semiHidden/>
    <w:rsid w:val="00017DD1"/>
    <w:rPr>
      <w:sz w:val="24"/>
      <w:szCs w:val="24"/>
    </w:rPr>
  </w:style>
</w:styles>
</file>

<file path=word/webSettings.xml><?xml version="1.0" encoding="utf-8"?>
<w:webSettings xmlns:r="http://schemas.openxmlformats.org/officeDocument/2006/relationships" xmlns:w="http://schemas.openxmlformats.org/wordprocessingml/2006/main">
  <w:divs>
    <w:div w:id="1185052052">
      <w:marLeft w:val="0"/>
      <w:marRight w:val="0"/>
      <w:marTop w:val="0"/>
      <w:marBottom w:val="0"/>
      <w:divBdr>
        <w:top w:val="none" w:sz="0" w:space="0" w:color="auto"/>
        <w:left w:val="none" w:sz="0" w:space="0" w:color="auto"/>
        <w:bottom w:val="none" w:sz="0" w:space="0" w:color="auto"/>
        <w:right w:val="none" w:sz="0" w:space="0" w:color="auto"/>
      </w:divBdr>
    </w:div>
    <w:div w:id="1185052053">
      <w:marLeft w:val="0"/>
      <w:marRight w:val="0"/>
      <w:marTop w:val="0"/>
      <w:marBottom w:val="0"/>
      <w:divBdr>
        <w:top w:val="none" w:sz="0" w:space="0" w:color="auto"/>
        <w:left w:val="none" w:sz="0" w:space="0" w:color="auto"/>
        <w:bottom w:val="none" w:sz="0" w:space="0" w:color="auto"/>
        <w:right w:val="none" w:sz="0" w:space="0" w:color="auto"/>
      </w:divBdr>
    </w:div>
    <w:div w:id="1185052054">
      <w:marLeft w:val="0"/>
      <w:marRight w:val="0"/>
      <w:marTop w:val="0"/>
      <w:marBottom w:val="0"/>
      <w:divBdr>
        <w:top w:val="none" w:sz="0" w:space="0" w:color="auto"/>
        <w:left w:val="none" w:sz="0" w:space="0" w:color="auto"/>
        <w:bottom w:val="none" w:sz="0" w:space="0" w:color="auto"/>
        <w:right w:val="none" w:sz="0" w:space="0" w:color="auto"/>
      </w:divBdr>
    </w:div>
    <w:div w:id="1185052055">
      <w:marLeft w:val="0"/>
      <w:marRight w:val="0"/>
      <w:marTop w:val="0"/>
      <w:marBottom w:val="0"/>
      <w:divBdr>
        <w:top w:val="none" w:sz="0" w:space="0" w:color="auto"/>
        <w:left w:val="none" w:sz="0" w:space="0" w:color="auto"/>
        <w:bottom w:val="none" w:sz="0" w:space="0" w:color="auto"/>
        <w:right w:val="none" w:sz="0" w:space="0" w:color="auto"/>
      </w:divBdr>
    </w:div>
    <w:div w:id="1185052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gul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1308</Words>
  <Characters>7459</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2015-12-10T09:23:00Z</dcterms:created>
  <dcterms:modified xsi:type="dcterms:W3CDTF">2015-12-10T09:23:00Z</dcterms:modified>
</cp:coreProperties>
</file>