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62E2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74272">
        <w:rPr>
          <w:u w:val="none"/>
        </w:rPr>
        <w:t>3056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F74272">
        <w:rPr>
          <w:rFonts w:ascii="Arial" w:hAnsi="Arial" w:cs="Arial"/>
          <w:b/>
          <w:bCs/>
        </w:rPr>
        <w:t xml:space="preserve">21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F74272">
        <w:rPr>
          <w:u w:val="none"/>
        </w:rPr>
        <w:t>2</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F74272" w:rsidP="00B432E6">
      <w:pPr>
        <w:spacing w:line="320" w:lineRule="exact"/>
        <w:jc w:val="both"/>
        <w:rPr>
          <w:rFonts w:ascii="Arial" w:hAnsi="Arial" w:cs="Arial"/>
          <w:b/>
          <w:lang w:val="en-US"/>
        </w:rPr>
      </w:pPr>
      <w:r>
        <w:rPr>
          <w:rFonts w:ascii="Arial" w:hAnsi="Arial" w:cs="Arial"/>
          <w:b/>
          <w:lang w:val="en-US"/>
        </w:rPr>
        <w:t>3056</w:t>
      </w:r>
      <w:r w:rsidR="00AA1A19" w:rsidRPr="00AA1A19">
        <w:rPr>
          <w:rFonts w:ascii="Arial" w:hAnsi="Arial" w:cs="Arial"/>
          <w:b/>
          <w:lang w:val="en-US"/>
        </w:rPr>
        <w:t>.</w:t>
      </w:r>
      <w:r w:rsidR="00AA1A19" w:rsidRPr="00AA1A19">
        <w:rPr>
          <w:rFonts w:ascii="Arial" w:hAnsi="Arial" w:cs="Arial"/>
          <w:b/>
          <w:lang w:val="en-US"/>
        </w:rPr>
        <w:tab/>
      </w:r>
      <w:r>
        <w:rPr>
          <w:rFonts w:ascii="Arial" w:hAnsi="Arial" w:cs="Arial"/>
          <w:b/>
          <w:lang w:val="en-US"/>
        </w:rPr>
        <w:t xml:space="preserve">Mr J J McGluwa (DA) </w:t>
      </w:r>
      <w:r w:rsidR="00AA1A19" w:rsidRPr="00AA1A19">
        <w:rPr>
          <w:rFonts w:ascii="Arial" w:hAnsi="Arial" w:cs="Arial"/>
          <w:b/>
          <w:lang w:val="en-US"/>
        </w:rPr>
        <w:t>to ask the Minister of Home Affairs</w:t>
      </w:r>
      <w:r w:rsidR="00CF083F" w:rsidRPr="00CF083F">
        <w:rPr>
          <w:rFonts w:ascii="Arial" w:hAnsi="Arial" w:cs="Arial"/>
          <w:b/>
          <w:lang w:val="en-US"/>
        </w:rPr>
        <w:t>:</w:t>
      </w:r>
    </w:p>
    <w:p w:rsidR="00934463" w:rsidRDefault="00934463" w:rsidP="00A80D28">
      <w:pPr>
        <w:spacing w:line="320" w:lineRule="exact"/>
        <w:jc w:val="both"/>
        <w:rPr>
          <w:rFonts w:ascii="Arial" w:hAnsi="Arial" w:cs="Arial"/>
          <w:lang w:val="en-US"/>
        </w:rPr>
      </w:pPr>
    </w:p>
    <w:p w:rsidR="00934463" w:rsidRDefault="00171886" w:rsidP="00171886">
      <w:pPr>
        <w:spacing w:line="320" w:lineRule="exact"/>
        <w:jc w:val="both"/>
        <w:rPr>
          <w:rFonts w:ascii="Arial" w:hAnsi="Arial" w:cs="Arial"/>
          <w:lang w:val="en-US"/>
        </w:rPr>
      </w:pPr>
      <w:r w:rsidRPr="00171886">
        <w:rPr>
          <w:rFonts w:ascii="Arial" w:hAnsi="Arial" w:cs="Arial"/>
          <w:lang w:val="en-US"/>
        </w:rPr>
        <w:t>(a) How does (i) his department and (ii) entities reporting to him define red tape and (b) what (i) specific interventions and/or (ii) systems have been implemented to (aa) identify and (bb) reduce red tape in (aaa) his department and (bbb) the entities reporting to him?</w:t>
      </w:r>
      <w:r w:rsidRPr="00171886">
        <w:rPr>
          <w:rFonts w:ascii="Arial" w:hAnsi="Arial" w:cs="Arial"/>
          <w:lang w:val="en-US"/>
        </w:rPr>
        <w:tab/>
      </w:r>
      <w:r w:rsidRPr="00171886">
        <w:rPr>
          <w:rFonts w:ascii="Arial" w:hAnsi="Arial" w:cs="Arial"/>
          <w:lang w:val="en-US"/>
        </w:rPr>
        <w:tab/>
      </w:r>
      <w:r w:rsidRPr="00171886">
        <w:rPr>
          <w:rFonts w:ascii="Arial" w:hAnsi="Arial" w:cs="Arial"/>
          <w:lang w:val="en-US"/>
        </w:rPr>
        <w:tab/>
      </w:r>
      <w:r w:rsidRPr="00171886">
        <w:rPr>
          <w:rFonts w:ascii="Arial" w:hAnsi="Arial" w:cs="Arial"/>
          <w:lang w:val="en-US"/>
        </w:rPr>
        <w:tab/>
      </w:r>
      <w:r w:rsidRPr="00171886">
        <w:rPr>
          <w:rFonts w:ascii="Arial" w:hAnsi="Arial" w:cs="Arial"/>
          <w:lang w:val="en-US"/>
        </w:rPr>
        <w:tab/>
      </w:r>
      <w:r w:rsidRPr="00171886">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71886">
        <w:rPr>
          <w:rFonts w:ascii="Arial" w:hAnsi="Arial" w:cs="Arial"/>
          <w:lang w:val="en-US"/>
        </w:rPr>
        <w:t>NW3596E</w:t>
      </w:r>
      <w:r w:rsidR="000C2DDA" w:rsidRPr="000C2DDA">
        <w:rPr>
          <w:rFonts w:ascii="Arial" w:hAnsi="Arial" w:cs="Arial"/>
          <w:lang w:val="en-US"/>
        </w:rPr>
        <w:tab/>
      </w:r>
      <w:r w:rsidR="00217670" w:rsidRPr="00217670">
        <w:rPr>
          <w:rFonts w:ascii="Arial" w:hAnsi="Arial" w:cs="Arial"/>
          <w:lang w:val="en-US"/>
        </w:rPr>
        <w:tab/>
      </w:r>
    </w:p>
    <w:p w:rsidR="00171886" w:rsidRDefault="00171886" w:rsidP="007F7FC3">
      <w:pPr>
        <w:spacing w:line="320" w:lineRule="exact"/>
        <w:jc w:val="both"/>
        <w:rPr>
          <w:rFonts w:ascii="Arial" w:hAnsi="Arial" w:cs="Arial"/>
          <w:b/>
        </w:rPr>
      </w:pP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9A60AF" w:rsidRDefault="009A60AF" w:rsidP="00F7239F">
      <w:pPr>
        <w:tabs>
          <w:tab w:val="left" w:pos="432"/>
          <w:tab w:val="left" w:pos="864"/>
        </w:tabs>
        <w:spacing w:line="320" w:lineRule="exact"/>
        <w:jc w:val="both"/>
        <w:rPr>
          <w:rFonts w:ascii="Arial" w:hAnsi="Arial" w:cs="Arial"/>
        </w:rPr>
      </w:pPr>
      <w:r w:rsidRPr="00D62181">
        <w:rPr>
          <w:rFonts w:ascii="Arial" w:hAnsi="Arial" w:cs="Arial"/>
        </w:rPr>
        <w:t>Responses provided by the Department of Home Affairs, Government Printing Work</w:t>
      </w:r>
      <w:r>
        <w:rPr>
          <w:rFonts w:ascii="Arial" w:hAnsi="Arial" w:cs="Arial"/>
        </w:rPr>
        <w:t xml:space="preserve">s and </w:t>
      </w:r>
      <w:r w:rsidRPr="00D62181">
        <w:rPr>
          <w:rFonts w:ascii="Arial" w:hAnsi="Arial" w:cs="Arial"/>
        </w:rPr>
        <w:t xml:space="preserve">Electoral Commission </w:t>
      </w:r>
      <w:r>
        <w:rPr>
          <w:rFonts w:ascii="Arial" w:hAnsi="Arial" w:cs="Arial"/>
        </w:rPr>
        <w:t>are given below</w:t>
      </w:r>
      <w:r w:rsidRPr="00D62181">
        <w:rPr>
          <w:rFonts w:ascii="Arial" w:hAnsi="Arial" w:cs="Arial"/>
        </w:rPr>
        <w:t>:</w:t>
      </w:r>
    </w:p>
    <w:p w:rsidR="009A60AF" w:rsidRDefault="009A60AF" w:rsidP="00F7239F">
      <w:pPr>
        <w:tabs>
          <w:tab w:val="left" w:pos="432"/>
          <w:tab w:val="left" w:pos="864"/>
        </w:tabs>
        <w:spacing w:line="320" w:lineRule="exact"/>
        <w:jc w:val="both"/>
        <w:rPr>
          <w:rFonts w:ascii="Arial" w:hAnsi="Arial" w:cs="Arial"/>
        </w:rPr>
      </w:pPr>
    </w:p>
    <w:p w:rsidR="009A60AF" w:rsidRPr="007160BE" w:rsidRDefault="009A60AF" w:rsidP="00F7239F">
      <w:pPr>
        <w:numPr>
          <w:ilvl w:val="0"/>
          <w:numId w:val="40"/>
        </w:numPr>
        <w:tabs>
          <w:tab w:val="left" w:pos="851"/>
        </w:tabs>
        <w:spacing w:line="320" w:lineRule="exact"/>
        <w:ind w:hanging="1080"/>
        <w:rPr>
          <w:rFonts w:ascii="Arial" w:hAnsi="Arial" w:cs="Arial"/>
          <w:b/>
          <w:u w:val="single"/>
        </w:rPr>
      </w:pPr>
      <w:r w:rsidRPr="007160BE">
        <w:rPr>
          <w:rFonts w:ascii="Arial" w:hAnsi="Arial" w:cs="Arial"/>
          <w:b/>
          <w:u w:val="single"/>
        </w:rPr>
        <w:t>Department of Home Affairs</w:t>
      </w:r>
    </w:p>
    <w:p w:rsidR="009A60AF" w:rsidRPr="009357F9" w:rsidRDefault="009A60AF" w:rsidP="00F7239F">
      <w:pPr>
        <w:tabs>
          <w:tab w:val="left" w:pos="432"/>
          <w:tab w:val="left" w:pos="864"/>
        </w:tabs>
        <w:spacing w:line="320" w:lineRule="exact"/>
        <w:jc w:val="both"/>
        <w:rPr>
          <w:rFonts w:ascii="Arial" w:hAnsi="Arial" w:cs="Arial"/>
        </w:rPr>
      </w:pPr>
    </w:p>
    <w:p w:rsidR="00DE1B3A" w:rsidRDefault="006C0F2E" w:rsidP="00F7239F">
      <w:pPr>
        <w:numPr>
          <w:ilvl w:val="0"/>
          <w:numId w:val="36"/>
        </w:numPr>
        <w:tabs>
          <w:tab w:val="left" w:pos="851"/>
        </w:tabs>
        <w:spacing w:line="320" w:lineRule="exact"/>
        <w:ind w:left="851" w:hanging="851"/>
        <w:jc w:val="both"/>
        <w:rPr>
          <w:rFonts w:ascii="Arial" w:hAnsi="Arial" w:cs="Arial"/>
        </w:rPr>
      </w:pPr>
      <w:r>
        <w:rPr>
          <w:rFonts w:ascii="Arial" w:hAnsi="Arial" w:cs="Arial"/>
        </w:rPr>
        <w:t>R</w:t>
      </w:r>
      <w:r w:rsidR="006330A9">
        <w:rPr>
          <w:rFonts w:ascii="Arial" w:hAnsi="Arial" w:cs="Arial"/>
        </w:rPr>
        <w:t xml:space="preserve">ed tape is </w:t>
      </w:r>
      <w:r>
        <w:rPr>
          <w:rFonts w:ascii="Arial" w:hAnsi="Arial" w:cs="Arial"/>
        </w:rPr>
        <w:t xml:space="preserve">defined as the excessive </w:t>
      </w:r>
      <w:r w:rsidR="006330A9">
        <w:rPr>
          <w:rFonts w:ascii="Arial" w:hAnsi="Arial" w:cs="Arial"/>
        </w:rPr>
        <w:t>bureaucracy or procedures marked by complexities of process</w:t>
      </w:r>
      <w:r>
        <w:rPr>
          <w:rFonts w:ascii="Arial" w:hAnsi="Arial" w:cs="Arial"/>
        </w:rPr>
        <w:t>es</w:t>
      </w:r>
      <w:r w:rsidR="006330A9">
        <w:rPr>
          <w:rFonts w:ascii="Arial" w:hAnsi="Arial" w:cs="Arial"/>
        </w:rPr>
        <w:t xml:space="preserve"> which in most cases result in delays or </w:t>
      </w:r>
      <w:r>
        <w:rPr>
          <w:rFonts w:ascii="Arial" w:hAnsi="Arial" w:cs="Arial"/>
        </w:rPr>
        <w:t>failure to take any action</w:t>
      </w:r>
      <w:r w:rsidR="006330A9">
        <w:rPr>
          <w:rFonts w:ascii="Arial" w:hAnsi="Arial" w:cs="Arial"/>
        </w:rPr>
        <w:t>.</w:t>
      </w:r>
    </w:p>
    <w:p w:rsidR="006B4572" w:rsidRDefault="006B4572" w:rsidP="00F7239F">
      <w:pPr>
        <w:spacing w:line="320" w:lineRule="exact"/>
        <w:ind w:left="720"/>
        <w:jc w:val="both"/>
        <w:rPr>
          <w:rFonts w:ascii="Arial" w:hAnsi="Arial" w:cs="Arial"/>
        </w:rPr>
      </w:pPr>
    </w:p>
    <w:p w:rsidR="006330A9" w:rsidRDefault="009A60AF" w:rsidP="00F7239F">
      <w:pPr>
        <w:spacing w:line="320" w:lineRule="exact"/>
        <w:ind w:left="851" w:hanging="851"/>
        <w:jc w:val="both"/>
        <w:rPr>
          <w:rFonts w:ascii="Arial" w:hAnsi="Arial" w:cs="Arial"/>
        </w:rPr>
      </w:pPr>
      <w:r>
        <w:rPr>
          <w:rFonts w:ascii="Arial" w:hAnsi="Arial" w:cs="Arial"/>
        </w:rPr>
        <w:t>(b)</w:t>
      </w:r>
      <w:r w:rsidR="006C0F2E" w:rsidRPr="006C0F2E">
        <w:rPr>
          <w:rFonts w:ascii="Arial" w:hAnsi="Arial" w:cs="Arial"/>
        </w:rPr>
        <w:t>(i</w:t>
      </w:r>
      <w:r>
        <w:rPr>
          <w:rFonts w:ascii="Arial" w:hAnsi="Arial" w:cs="Arial"/>
        </w:rPr>
        <w:t>-</w:t>
      </w:r>
      <w:r w:rsidR="006C0F2E" w:rsidRPr="006C0F2E">
        <w:rPr>
          <w:rFonts w:ascii="Arial" w:hAnsi="Arial" w:cs="Arial"/>
        </w:rPr>
        <w:t xml:space="preserve">ii) </w:t>
      </w:r>
      <w:r w:rsidR="006B4572">
        <w:rPr>
          <w:rFonts w:ascii="Arial" w:hAnsi="Arial" w:cs="Arial"/>
        </w:rPr>
        <w:t>The department has put in place policies, guidelines and standard operating procedures to ensure smooth operations in compliance with the laws and mandate of the department.</w:t>
      </w:r>
    </w:p>
    <w:p w:rsidR="002E74EF" w:rsidRDefault="002E74EF" w:rsidP="00F7239F">
      <w:pPr>
        <w:pStyle w:val="ListParagraph"/>
        <w:spacing w:after="0"/>
        <w:rPr>
          <w:rFonts w:ascii="Arial" w:hAnsi="Arial" w:cs="Arial"/>
        </w:rPr>
      </w:pPr>
    </w:p>
    <w:p w:rsidR="002E74EF" w:rsidRDefault="002E74EF" w:rsidP="00F7239F">
      <w:pPr>
        <w:tabs>
          <w:tab w:val="left" w:pos="851"/>
        </w:tabs>
        <w:spacing w:line="320" w:lineRule="exact"/>
        <w:ind w:left="851" w:hanging="851"/>
        <w:jc w:val="both"/>
        <w:rPr>
          <w:rFonts w:ascii="Arial" w:hAnsi="Arial" w:cs="Arial"/>
        </w:rPr>
      </w:pPr>
      <w:r>
        <w:rPr>
          <w:rFonts w:ascii="Arial" w:hAnsi="Arial" w:cs="Arial"/>
        </w:rPr>
        <w:t>(aa</w:t>
      </w:r>
      <w:r w:rsidR="009A60AF">
        <w:rPr>
          <w:rFonts w:ascii="Arial" w:hAnsi="Arial" w:cs="Arial"/>
        </w:rPr>
        <w:t>-bb)</w:t>
      </w:r>
      <w:r w:rsidR="009A60AF">
        <w:rPr>
          <w:rFonts w:ascii="Arial" w:hAnsi="Arial" w:cs="Arial"/>
        </w:rPr>
        <w:tab/>
      </w:r>
      <w:r>
        <w:rPr>
          <w:rFonts w:ascii="Arial" w:hAnsi="Arial" w:cs="Arial"/>
        </w:rPr>
        <w:t>The department</w:t>
      </w:r>
      <w:r w:rsidR="006C0F2E">
        <w:rPr>
          <w:rFonts w:ascii="Arial" w:hAnsi="Arial" w:cs="Arial"/>
        </w:rPr>
        <w:t>’s</w:t>
      </w:r>
      <w:r>
        <w:rPr>
          <w:rFonts w:ascii="Arial" w:hAnsi="Arial" w:cs="Arial"/>
        </w:rPr>
        <w:t xml:space="preserve"> audit coverage </w:t>
      </w:r>
      <w:r w:rsidR="00D4052B">
        <w:rPr>
          <w:rFonts w:ascii="Arial" w:hAnsi="Arial" w:cs="Arial"/>
        </w:rPr>
        <w:t>plan focuses on various auditable areas with a sole purpose of identifying weaknesses in the internal control environment and reduces</w:t>
      </w:r>
      <w:r>
        <w:rPr>
          <w:rFonts w:ascii="Arial" w:hAnsi="Arial" w:cs="Arial"/>
        </w:rPr>
        <w:t xml:space="preserve"> bottlenecks.</w:t>
      </w:r>
    </w:p>
    <w:p w:rsidR="002E74EF" w:rsidRPr="009357F9" w:rsidRDefault="002E74EF" w:rsidP="00F7239F">
      <w:pPr>
        <w:spacing w:line="320" w:lineRule="exact"/>
        <w:jc w:val="both"/>
        <w:rPr>
          <w:rFonts w:ascii="Arial" w:hAnsi="Arial" w:cs="Arial"/>
        </w:rPr>
      </w:pPr>
    </w:p>
    <w:p w:rsidR="00DE1B3A" w:rsidRDefault="00DE1B3A" w:rsidP="00C3335E">
      <w:pPr>
        <w:tabs>
          <w:tab w:val="left" w:pos="432"/>
          <w:tab w:val="left" w:pos="864"/>
        </w:tabs>
        <w:spacing w:line="320" w:lineRule="exact"/>
        <w:jc w:val="both"/>
        <w:rPr>
          <w:rFonts w:ascii="Arial" w:hAnsi="Arial" w:cs="Arial"/>
        </w:rPr>
      </w:pPr>
    </w:p>
    <w:p w:rsidR="009A60AF" w:rsidRDefault="009A60AF" w:rsidP="00C3335E">
      <w:pPr>
        <w:tabs>
          <w:tab w:val="left" w:pos="432"/>
          <w:tab w:val="left" w:pos="864"/>
        </w:tabs>
        <w:spacing w:line="320" w:lineRule="exact"/>
        <w:jc w:val="both"/>
        <w:rPr>
          <w:rFonts w:ascii="Arial" w:hAnsi="Arial" w:cs="Arial"/>
        </w:rPr>
      </w:pPr>
    </w:p>
    <w:p w:rsidR="009A60AF" w:rsidRPr="00C53F99" w:rsidRDefault="009A60AF" w:rsidP="00F7239F">
      <w:pPr>
        <w:numPr>
          <w:ilvl w:val="0"/>
          <w:numId w:val="40"/>
        </w:numPr>
        <w:tabs>
          <w:tab w:val="left" w:pos="851"/>
        </w:tabs>
        <w:spacing w:line="320" w:lineRule="exact"/>
        <w:ind w:hanging="1080"/>
        <w:rPr>
          <w:rFonts w:ascii="Arial" w:hAnsi="Arial" w:cs="Arial"/>
          <w:b/>
          <w:u w:val="single"/>
        </w:rPr>
      </w:pPr>
      <w:r>
        <w:rPr>
          <w:rFonts w:ascii="Arial" w:hAnsi="Arial" w:cs="Arial"/>
          <w:b/>
          <w:u w:val="single"/>
        </w:rPr>
        <w:t>According to the Government Printing Works</w:t>
      </w:r>
    </w:p>
    <w:p w:rsidR="009A60AF" w:rsidRDefault="009A60AF" w:rsidP="00C3335E">
      <w:pPr>
        <w:tabs>
          <w:tab w:val="left" w:pos="432"/>
          <w:tab w:val="left" w:pos="864"/>
        </w:tabs>
        <w:spacing w:line="320" w:lineRule="exact"/>
        <w:jc w:val="both"/>
        <w:rPr>
          <w:rFonts w:ascii="Arial" w:hAnsi="Arial" w:cs="Arial"/>
        </w:rPr>
      </w:pPr>
    </w:p>
    <w:p w:rsidR="00F7239F" w:rsidRPr="00F7239F" w:rsidRDefault="00F7239F" w:rsidP="00F7239F">
      <w:pPr>
        <w:numPr>
          <w:ilvl w:val="0"/>
          <w:numId w:val="39"/>
        </w:numPr>
        <w:tabs>
          <w:tab w:val="left" w:pos="864"/>
        </w:tabs>
        <w:spacing w:line="320" w:lineRule="exact"/>
        <w:ind w:left="851" w:hanging="851"/>
        <w:jc w:val="both"/>
        <w:rPr>
          <w:rFonts w:ascii="Arial" w:hAnsi="Arial" w:cs="Arial"/>
        </w:rPr>
      </w:pPr>
      <w:r w:rsidRPr="00F7239F">
        <w:rPr>
          <w:rFonts w:ascii="Arial" w:hAnsi="Arial" w:cs="Arial"/>
        </w:rPr>
        <w:t>The Government Printing Works (GPW) might define red tape as bureaucratic processes that hinder and slow the work of the organisation.</w:t>
      </w:r>
      <w:r w:rsidR="00D4052B">
        <w:rPr>
          <w:rFonts w:ascii="Arial" w:hAnsi="Arial" w:cs="Arial"/>
        </w:rPr>
        <w:t xml:space="preserve"> </w:t>
      </w:r>
      <w:r w:rsidR="00D4052B" w:rsidRPr="00F7239F">
        <w:rPr>
          <w:rFonts w:ascii="Arial" w:hAnsi="Arial" w:cs="Arial"/>
        </w:rPr>
        <w:t>However it is not a term that the GPW uses in its business processes as it is very imprecise.</w:t>
      </w:r>
    </w:p>
    <w:p w:rsidR="00F7239F" w:rsidRPr="00F7239F" w:rsidRDefault="00F7239F" w:rsidP="00F7239F">
      <w:pPr>
        <w:tabs>
          <w:tab w:val="left" w:pos="864"/>
        </w:tabs>
        <w:spacing w:line="320" w:lineRule="exact"/>
        <w:ind w:left="720"/>
        <w:jc w:val="both"/>
        <w:rPr>
          <w:rFonts w:ascii="Arial" w:hAnsi="Arial" w:cs="Arial"/>
        </w:rPr>
      </w:pPr>
    </w:p>
    <w:p w:rsidR="00F7239F" w:rsidRDefault="00F7239F" w:rsidP="00F7239F">
      <w:pPr>
        <w:tabs>
          <w:tab w:val="left" w:pos="864"/>
        </w:tabs>
        <w:spacing w:line="320" w:lineRule="exact"/>
        <w:ind w:left="851" w:hanging="851"/>
        <w:jc w:val="both"/>
        <w:rPr>
          <w:rFonts w:ascii="Arial" w:hAnsi="Arial" w:cs="Arial"/>
        </w:rPr>
      </w:pPr>
      <w:r>
        <w:rPr>
          <w:rFonts w:ascii="Arial" w:hAnsi="Arial" w:cs="Arial"/>
        </w:rPr>
        <w:t>(b)(i-ii)</w:t>
      </w:r>
      <w:r>
        <w:rPr>
          <w:rFonts w:ascii="Arial" w:hAnsi="Arial" w:cs="Arial"/>
        </w:rPr>
        <w:tab/>
      </w:r>
      <w:r w:rsidR="00D4052B">
        <w:rPr>
          <w:rFonts w:ascii="Arial" w:hAnsi="Arial" w:cs="Arial"/>
        </w:rPr>
        <w:t>A</w:t>
      </w:r>
      <w:r w:rsidRPr="00F7239F">
        <w:rPr>
          <w:rFonts w:ascii="Arial" w:hAnsi="Arial" w:cs="Arial"/>
        </w:rPr>
        <w:t>s a government-owned manufacturing concern, the GPW does not encounter much “red tape” in its work, and has not needed to devise specific processes to deal with such red tape.</w:t>
      </w:r>
    </w:p>
    <w:p w:rsidR="00F7239F" w:rsidRDefault="00F7239F" w:rsidP="00F7239F">
      <w:pPr>
        <w:tabs>
          <w:tab w:val="left" w:pos="864"/>
        </w:tabs>
        <w:spacing w:line="320" w:lineRule="exact"/>
        <w:ind w:left="851" w:hanging="851"/>
        <w:jc w:val="both"/>
        <w:rPr>
          <w:rFonts w:ascii="Arial" w:hAnsi="Arial" w:cs="Arial"/>
        </w:rPr>
      </w:pPr>
    </w:p>
    <w:p w:rsidR="00D4052B" w:rsidRDefault="00D4052B" w:rsidP="00F7239F">
      <w:pPr>
        <w:tabs>
          <w:tab w:val="left" w:pos="864"/>
        </w:tabs>
        <w:spacing w:line="320" w:lineRule="exact"/>
        <w:ind w:left="851" w:hanging="851"/>
        <w:jc w:val="both"/>
        <w:rPr>
          <w:rFonts w:ascii="Arial" w:hAnsi="Arial" w:cs="Arial"/>
        </w:rPr>
      </w:pPr>
    </w:p>
    <w:p w:rsidR="00F7239F" w:rsidRPr="00C53F99" w:rsidRDefault="00F7239F" w:rsidP="00996A0C">
      <w:pPr>
        <w:numPr>
          <w:ilvl w:val="0"/>
          <w:numId w:val="41"/>
        </w:numPr>
        <w:tabs>
          <w:tab w:val="left" w:pos="851"/>
        </w:tabs>
        <w:spacing w:line="320" w:lineRule="exact"/>
        <w:ind w:hanging="1080"/>
        <w:rPr>
          <w:rFonts w:ascii="Arial" w:hAnsi="Arial" w:cs="Arial"/>
          <w:b/>
          <w:u w:val="single"/>
        </w:rPr>
      </w:pPr>
      <w:r>
        <w:rPr>
          <w:rFonts w:ascii="Arial" w:hAnsi="Arial" w:cs="Arial"/>
          <w:b/>
          <w:u w:val="single"/>
        </w:rPr>
        <w:t xml:space="preserve">According to the </w:t>
      </w:r>
      <w:r w:rsidR="00996A0C">
        <w:rPr>
          <w:rFonts w:ascii="Arial" w:hAnsi="Arial" w:cs="Arial"/>
          <w:b/>
          <w:u w:val="single"/>
        </w:rPr>
        <w:t>Electoral Commission</w:t>
      </w:r>
    </w:p>
    <w:p w:rsidR="00F7239F" w:rsidRDefault="00F7239F" w:rsidP="00F7239F">
      <w:pPr>
        <w:tabs>
          <w:tab w:val="left" w:pos="432"/>
          <w:tab w:val="left" w:pos="864"/>
        </w:tabs>
        <w:spacing w:line="320" w:lineRule="exact"/>
        <w:jc w:val="both"/>
        <w:rPr>
          <w:rFonts w:ascii="Arial" w:hAnsi="Arial" w:cs="Arial"/>
        </w:rPr>
      </w:pPr>
    </w:p>
    <w:p w:rsidR="00996A0C" w:rsidRDefault="00996A0C" w:rsidP="00996A0C">
      <w:pPr>
        <w:numPr>
          <w:ilvl w:val="0"/>
          <w:numId w:val="42"/>
        </w:numPr>
        <w:tabs>
          <w:tab w:val="left" w:pos="851"/>
        </w:tabs>
        <w:spacing w:line="320" w:lineRule="exact"/>
        <w:ind w:left="851" w:hanging="851"/>
        <w:jc w:val="both"/>
        <w:rPr>
          <w:rFonts w:ascii="Arial" w:hAnsi="Arial" w:cs="Arial"/>
        </w:rPr>
      </w:pPr>
      <w:r w:rsidRPr="00996A0C">
        <w:rPr>
          <w:rFonts w:ascii="Arial" w:hAnsi="Arial" w:cs="Arial"/>
        </w:rPr>
        <w:t xml:space="preserve">The Electoral Commission does not use a peculiar definition of red tape. It applies the common use of the term based on the South African Concise Oxford Dictionary. This dictionary defines the term as follows: “excessive bureaucracy or adherence to rules, especially in public business” </w:t>
      </w:r>
    </w:p>
    <w:p w:rsidR="00996A0C" w:rsidRPr="00996A0C" w:rsidRDefault="00996A0C" w:rsidP="00996A0C">
      <w:pPr>
        <w:tabs>
          <w:tab w:val="left" w:pos="851"/>
        </w:tabs>
        <w:ind w:left="851"/>
        <w:rPr>
          <w:rFonts w:ascii="Arial" w:hAnsi="Arial" w:cs="Arial"/>
        </w:rPr>
      </w:pPr>
    </w:p>
    <w:p w:rsidR="00996A0C" w:rsidRDefault="00996A0C" w:rsidP="00996A0C">
      <w:pPr>
        <w:tabs>
          <w:tab w:val="left" w:pos="851"/>
        </w:tabs>
        <w:spacing w:line="320" w:lineRule="exact"/>
        <w:ind w:left="851" w:hanging="851"/>
        <w:jc w:val="both"/>
        <w:rPr>
          <w:rFonts w:ascii="Arial" w:hAnsi="Arial" w:cs="Arial"/>
        </w:rPr>
      </w:pPr>
      <w:r>
        <w:rPr>
          <w:rFonts w:ascii="Arial" w:hAnsi="Arial" w:cs="Arial"/>
        </w:rPr>
        <w:t>(b)(i-ii)</w:t>
      </w:r>
      <w:r>
        <w:rPr>
          <w:rFonts w:ascii="Arial" w:hAnsi="Arial" w:cs="Arial"/>
        </w:rPr>
        <w:tab/>
        <w:t>In terms of the Regulations on Party Liaison the Electoral Commission has established Party Liaison Committees (PLC’s) in the three spheres of government. The primary function of the PLC’s is a consultations mechanism with political parties. These structures also provide crucial feedback on the efficacy on the systems and processes of the Electoral Commission. Based on some of these feedback legislative and operational policies are amended to reduce red-tape.</w:t>
      </w:r>
    </w:p>
    <w:p w:rsidR="00996A0C" w:rsidRDefault="00996A0C" w:rsidP="00996A0C">
      <w:pPr>
        <w:spacing w:line="320" w:lineRule="exact"/>
        <w:ind w:left="720"/>
        <w:jc w:val="both"/>
        <w:rPr>
          <w:rFonts w:ascii="Arial" w:hAnsi="Arial" w:cs="Arial"/>
        </w:rPr>
      </w:pPr>
    </w:p>
    <w:p w:rsidR="00996A0C" w:rsidRDefault="00996A0C" w:rsidP="00996A0C">
      <w:pPr>
        <w:tabs>
          <w:tab w:val="left" w:pos="851"/>
        </w:tabs>
        <w:spacing w:line="320" w:lineRule="exact"/>
        <w:ind w:left="851" w:hanging="851"/>
        <w:jc w:val="both"/>
        <w:rPr>
          <w:rFonts w:ascii="Arial" w:hAnsi="Arial" w:cs="Arial"/>
        </w:rPr>
      </w:pPr>
      <w:r>
        <w:rPr>
          <w:rFonts w:ascii="Arial" w:hAnsi="Arial" w:cs="Arial"/>
        </w:rPr>
        <w:tab/>
        <w:t>Ahead of elections the Electoral Commission commissions a Voter Participation Survey. This survey, on a representative sample basis, collects the views of South African citizens on the forthcoming elections. A special area of focus in this survey is the barriers to participation.  Based on the outcome of the survey appropriate adjustments are made to the programmes of the Electoral Commission in order to ameliorate barriers to voter participation.</w:t>
      </w:r>
    </w:p>
    <w:p w:rsidR="00996A0C" w:rsidRDefault="00996A0C" w:rsidP="00996A0C">
      <w:pPr>
        <w:spacing w:line="320" w:lineRule="exact"/>
        <w:ind w:left="720"/>
        <w:jc w:val="both"/>
        <w:rPr>
          <w:rFonts w:ascii="Arial" w:hAnsi="Arial" w:cs="Arial"/>
        </w:rPr>
      </w:pPr>
    </w:p>
    <w:p w:rsidR="00F7239F" w:rsidRPr="00F7239F" w:rsidRDefault="00996A0C" w:rsidP="00996A0C">
      <w:pPr>
        <w:tabs>
          <w:tab w:val="left" w:pos="864"/>
        </w:tabs>
        <w:spacing w:line="320" w:lineRule="exact"/>
        <w:ind w:left="851"/>
        <w:jc w:val="both"/>
        <w:rPr>
          <w:rFonts w:ascii="Arial" w:hAnsi="Arial" w:cs="Arial"/>
        </w:rPr>
      </w:pPr>
      <w:r>
        <w:rPr>
          <w:rFonts w:ascii="Arial" w:hAnsi="Arial" w:cs="Arial"/>
        </w:rPr>
        <w:t xml:space="preserve">Furthermore on Election Day, a Voter Satisfaction Survey is commissioned on a representative sample of voting stations. This survey collect the vies of voters on their experiences of the voting process including assessing areas such as coercion to voting or voting for a particular political party, the simplicity of the voting </w:t>
      </w:r>
      <w:r>
        <w:rPr>
          <w:rFonts w:ascii="Arial" w:hAnsi="Arial" w:cs="Arial"/>
        </w:rPr>
        <w:lastRenderedPageBreak/>
        <w:t>process, the secrecy of the vote, the helpfulness of voting staff etc. The results of the voting satisfaction survey are used in planning subsequent electoral events including by elections.</w:t>
      </w:r>
    </w:p>
    <w:p w:rsidR="00F7239F" w:rsidRDefault="00F7239F" w:rsidP="00F7239F">
      <w:pPr>
        <w:tabs>
          <w:tab w:val="left" w:pos="864"/>
        </w:tabs>
        <w:spacing w:line="320" w:lineRule="exact"/>
        <w:ind w:left="851" w:hanging="851"/>
        <w:jc w:val="both"/>
        <w:rPr>
          <w:rFonts w:ascii="Arial" w:hAnsi="Arial" w:cs="Arial"/>
        </w:rPr>
      </w:pPr>
    </w:p>
    <w:sectPr w:rsidR="00F7239F" w:rsidSect="009A60AF">
      <w:headerReference w:type="even" r:id="rId8"/>
      <w:headerReference w:type="default" r:id="rId9"/>
      <w:pgSz w:w="11907" w:h="16839" w:code="9"/>
      <w:pgMar w:top="568" w:right="1800" w:bottom="1701"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E2" w:rsidRDefault="005769E2">
      <w:r>
        <w:separator/>
      </w:r>
    </w:p>
  </w:endnote>
  <w:endnote w:type="continuationSeparator" w:id="0">
    <w:p w:rsidR="005769E2" w:rsidRDefault="00576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E2" w:rsidRDefault="005769E2">
      <w:r>
        <w:separator/>
      </w:r>
    </w:p>
  </w:footnote>
  <w:footnote w:type="continuationSeparator" w:id="0">
    <w:p w:rsidR="005769E2" w:rsidRDefault="0057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9F" w:rsidRDefault="00F7239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39F" w:rsidRDefault="00F72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9F" w:rsidRDefault="00F7239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E25">
      <w:rPr>
        <w:rStyle w:val="PageNumber"/>
        <w:noProof/>
      </w:rPr>
      <w:t>2</w:t>
    </w:r>
    <w:r>
      <w:rPr>
        <w:rStyle w:val="PageNumber"/>
      </w:rPr>
      <w:fldChar w:fldCharType="end"/>
    </w:r>
  </w:p>
  <w:p w:rsidR="00F7239F" w:rsidRDefault="00F7239F">
    <w:pPr>
      <w:pStyle w:val="Header"/>
    </w:pPr>
  </w:p>
  <w:p w:rsidR="00996A0C" w:rsidRDefault="00996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7968F2"/>
    <w:multiLevelType w:val="hybridMultilevel"/>
    <w:tmpl w:val="711A924E"/>
    <w:lvl w:ilvl="0" w:tplc="24FA13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7745C4"/>
    <w:multiLevelType w:val="hybridMultilevel"/>
    <w:tmpl w:val="5120BE02"/>
    <w:lvl w:ilvl="0" w:tplc="0C0C7D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B779B3"/>
    <w:multiLevelType w:val="hybridMultilevel"/>
    <w:tmpl w:val="21842912"/>
    <w:lvl w:ilvl="0" w:tplc="CC661D6E">
      <w:start w:val="2"/>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9EB0BF3"/>
    <w:multiLevelType w:val="hybridMultilevel"/>
    <w:tmpl w:val="970E93CC"/>
    <w:lvl w:ilvl="0" w:tplc="266449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F873A4"/>
    <w:multiLevelType w:val="hybridMultilevel"/>
    <w:tmpl w:val="66B6ED04"/>
    <w:lvl w:ilvl="0" w:tplc="0302A5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591D32"/>
    <w:multiLevelType w:val="hybridMultilevel"/>
    <w:tmpl w:val="A7F4E7B0"/>
    <w:lvl w:ilvl="0" w:tplc="F948E070">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587E32"/>
    <w:multiLevelType w:val="hybridMultilevel"/>
    <w:tmpl w:val="60F401A6"/>
    <w:lvl w:ilvl="0" w:tplc="5680D9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13025A"/>
    <w:multiLevelType w:val="hybridMultilevel"/>
    <w:tmpl w:val="C7D0319E"/>
    <w:lvl w:ilvl="0" w:tplc="B9848D00">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7"/>
  </w:num>
  <w:num w:numId="4">
    <w:abstractNumId w:val="22"/>
  </w:num>
  <w:num w:numId="5">
    <w:abstractNumId w:val="3"/>
  </w:num>
  <w:num w:numId="6">
    <w:abstractNumId w:val="21"/>
  </w:num>
  <w:num w:numId="7">
    <w:abstractNumId w:val="33"/>
  </w:num>
  <w:num w:numId="8">
    <w:abstractNumId w:val="40"/>
  </w:num>
  <w:num w:numId="9">
    <w:abstractNumId w:val="12"/>
  </w:num>
  <w:num w:numId="10">
    <w:abstractNumId w:val="36"/>
  </w:num>
  <w:num w:numId="11">
    <w:abstractNumId w:val="16"/>
  </w:num>
  <w:num w:numId="12">
    <w:abstractNumId w:val="7"/>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2"/>
  </w:num>
  <w:num w:numId="20">
    <w:abstractNumId w:val="10"/>
  </w:num>
  <w:num w:numId="21">
    <w:abstractNumId w:val="28"/>
  </w:num>
  <w:num w:numId="22">
    <w:abstractNumId w:val="0"/>
  </w:num>
  <w:num w:numId="23">
    <w:abstractNumId w:val="9"/>
  </w:num>
  <w:num w:numId="24">
    <w:abstractNumId w:val="34"/>
  </w:num>
  <w:num w:numId="25">
    <w:abstractNumId w:val="4"/>
  </w:num>
  <w:num w:numId="26">
    <w:abstractNumId w:val="18"/>
  </w:num>
  <w:num w:numId="27">
    <w:abstractNumId w:val="24"/>
  </w:num>
  <w:num w:numId="28">
    <w:abstractNumId w:val="14"/>
  </w:num>
  <w:num w:numId="29">
    <w:abstractNumId w:val="29"/>
  </w:num>
  <w:num w:numId="30">
    <w:abstractNumId w:val="20"/>
  </w:num>
  <w:num w:numId="31">
    <w:abstractNumId w:val="8"/>
  </w:num>
  <w:num w:numId="32">
    <w:abstractNumId w:val="13"/>
  </w:num>
  <w:num w:numId="33">
    <w:abstractNumId w:val="23"/>
  </w:num>
  <w:num w:numId="34">
    <w:abstractNumId w:val="37"/>
  </w:num>
  <w:num w:numId="35">
    <w:abstractNumId w:val="1"/>
  </w:num>
  <w:num w:numId="36">
    <w:abstractNumId w:val="19"/>
  </w:num>
  <w:num w:numId="37">
    <w:abstractNumId w:val="11"/>
  </w:num>
  <w:num w:numId="38">
    <w:abstractNumId w:val="39"/>
  </w:num>
  <w:num w:numId="39">
    <w:abstractNumId w:val="38"/>
  </w:num>
  <w:num w:numId="40">
    <w:abstractNumId w:val="31"/>
  </w:num>
  <w:num w:numId="41">
    <w:abstractNumId w:val="15"/>
  </w:num>
  <w:num w:numId="42">
    <w:abstractNumId w:val="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2CF4"/>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886"/>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8A3"/>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E74EF"/>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47EC4"/>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6CD"/>
    <w:rsid w:val="00553E06"/>
    <w:rsid w:val="0055497F"/>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769E2"/>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C79"/>
    <w:rsid w:val="00631F94"/>
    <w:rsid w:val="006330A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572"/>
    <w:rsid w:val="006B4635"/>
    <w:rsid w:val="006B4765"/>
    <w:rsid w:val="006B52A9"/>
    <w:rsid w:val="006B541E"/>
    <w:rsid w:val="006B55FA"/>
    <w:rsid w:val="006B6B06"/>
    <w:rsid w:val="006C01B1"/>
    <w:rsid w:val="006C0809"/>
    <w:rsid w:val="006C0F2E"/>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96"/>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25"/>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3EA"/>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6A0C"/>
    <w:rsid w:val="009976F0"/>
    <w:rsid w:val="00997F9B"/>
    <w:rsid w:val="009A06C1"/>
    <w:rsid w:val="009A2127"/>
    <w:rsid w:val="009A3101"/>
    <w:rsid w:val="009A3B6F"/>
    <w:rsid w:val="009A3E14"/>
    <w:rsid w:val="009A3E40"/>
    <w:rsid w:val="009A4C7D"/>
    <w:rsid w:val="009A52A3"/>
    <w:rsid w:val="009A549B"/>
    <w:rsid w:val="009A5501"/>
    <w:rsid w:val="009A5ADB"/>
    <w:rsid w:val="009A60AF"/>
    <w:rsid w:val="009A6333"/>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1E2C"/>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45E"/>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3543"/>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80D"/>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583"/>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2B"/>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602"/>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51C"/>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39F"/>
    <w:rsid w:val="00F7276C"/>
    <w:rsid w:val="00F73E5C"/>
    <w:rsid w:val="00F74272"/>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996A0C"/>
    <w:pPr>
      <w:tabs>
        <w:tab w:val="center" w:pos="4513"/>
        <w:tab w:val="right" w:pos="9026"/>
      </w:tabs>
    </w:pPr>
  </w:style>
  <w:style w:type="character" w:customStyle="1" w:styleId="FooterChar">
    <w:name w:val="Footer Char"/>
    <w:link w:val="Footer"/>
    <w:rsid w:val="00996A0C"/>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2015-08-27T09:43:00Z</cp:lastPrinted>
  <dcterms:created xsi:type="dcterms:W3CDTF">2015-09-10T09:31:00Z</dcterms:created>
  <dcterms:modified xsi:type="dcterms:W3CDTF">2015-09-10T09:31:00Z</dcterms:modified>
</cp:coreProperties>
</file>