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835" w:rsidRPr="006D7B63" w:rsidRDefault="006C4835">
      <w:pPr>
        <w:rPr>
          <w:rFonts w:ascii="Times New Roman" w:hAnsi="Times New Roman"/>
          <w:b/>
          <w:sz w:val="24"/>
          <w:szCs w:val="24"/>
        </w:rPr>
      </w:pPr>
      <w:bookmarkStart w:id="0" w:name="_GoBack"/>
      <w:bookmarkEnd w:id="0"/>
      <w:r w:rsidRPr="006D7B63">
        <w:rPr>
          <w:rFonts w:ascii="Times New Roman" w:hAnsi="Times New Roman"/>
          <w:b/>
          <w:sz w:val="24"/>
          <w:szCs w:val="24"/>
        </w:rPr>
        <w:t>NATIONAL ASSEMBLY</w:t>
      </w:r>
    </w:p>
    <w:p w:rsidR="006C4835" w:rsidRPr="006D7B63" w:rsidRDefault="006C4835">
      <w:pPr>
        <w:rPr>
          <w:rFonts w:ascii="Times New Roman" w:hAnsi="Times New Roman"/>
          <w:b/>
          <w:sz w:val="24"/>
          <w:szCs w:val="24"/>
        </w:rPr>
      </w:pPr>
    </w:p>
    <w:p w:rsidR="006C4835" w:rsidRPr="006D7B63" w:rsidRDefault="006C4835">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6C4835" w:rsidRPr="006D7B63" w:rsidRDefault="006C4835">
      <w:pPr>
        <w:rPr>
          <w:rFonts w:ascii="Times New Roman" w:hAnsi="Times New Roman"/>
          <w:b/>
          <w:sz w:val="24"/>
          <w:szCs w:val="24"/>
        </w:rPr>
      </w:pPr>
    </w:p>
    <w:p w:rsidR="006C4835" w:rsidRPr="006D7B63" w:rsidRDefault="006C4835">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3042</w:t>
      </w:r>
    </w:p>
    <w:p w:rsidR="006C4835" w:rsidRPr="006D7B63" w:rsidRDefault="006C4835">
      <w:pPr>
        <w:rPr>
          <w:rFonts w:ascii="Times New Roman" w:hAnsi="Times New Roman"/>
          <w:b/>
          <w:sz w:val="24"/>
          <w:szCs w:val="24"/>
        </w:rPr>
      </w:pPr>
    </w:p>
    <w:p w:rsidR="006C4835" w:rsidRPr="006D7B63" w:rsidRDefault="006C4835">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21/08</w:t>
      </w:r>
      <w:r w:rsidRPr="006D7B63">
        <w:rPr>
          <w:rFonts w:ascii="Times New Roman" w:hAnsi="Times New Roman"/>
          <w:b/>
          <w:sz w:val="24"/>
          <w:szCs w:val="24"/>
          <w:u w:val="single"/>
        </w:rPr>
        <w:t>/2015</w:t>
      </w:r>
    </w:p>
    <w:p w:rsidR="006C4835" w:rsidRDefault="006C4835" w:rsidP="00051718">
      <w:pPr>
        <w:tabs>
          <w:tab w:val="left" w:pos="142"/>
        </w:tabs>
        <w:rPr>
          <w:rFonts w:ascii="Times New Roman" w:hAnsi="Times New Roman"/>
          <w:b/>
          <w:sz w:val="24"/>
          <w:szCs w:val="24"/>
          <w:u w:val="single"/>
        </w:rPr>
      </w:pPr>
      <w:r>
        <w:rPr>
          <w:rFonts w:ascii="Times New Roman" w:hAnsi="Times New Roman"/>
          <w:b/>
          <w:sz w:val="24"/>
          <w:szCs w:val="24"/>
          <w:u w:val="single"/>
        </w:rPr>
        <w:t>INTERNAL QUESTION PAPER: 32</w:t>
      </w:r>
      <w:r w:rsidRPr="006D7B63">
        <w:rPr>
          <w:rFonts w:ascii="Times New Roman" w:hAnsi="Times New Roman"/>
          <w:b/>
          <w:sz w:val="24"/>
          <w:szCs w:val="24"/>
          <w:u w:val="single"/>
        </w:rPr>
        <w:t>/2015</w:t>
      </w:r>
    </w:p>
    <w:p w:rsidR="006C4835" w:rsidRPr="0022227C" w:rsidRDefault="006C4835" w:rsidP="0022227C">
      <w:pPr>
        <w:spacing w:after="0" w:line="240" w:lineRule="auto"/>
        <w:ind w:left="709" w:hanging="709"/>
        <w:jc w:val="both"/>
        <w:rPr>
          <w:rFonts w:ascii="Times New Roman" w:hAnsi="Times New Roman"/>
          <w:b/>
          <w:sz w:val="24"/>
          <w:szCs w:val="24"/>
        </w:rPr>
      </w:pPr>
      <w:r w:rsidRPr="0022227C">
        <w:rPr>
          <w:rFonts w:ascii="Times New Roman" w:hAnsi="Times New Roman"/>
          <w:b/>
          <w:sz w:val="24"/>
          <w:szCs w:val="24"/>
        </w:rPr>
        <w:t>3042.</w:t>
      </w:r>
      <w:r w:rsidRPr="0022227C">
        <w:rPr>
          <w:rFonts w:ascii="Times New Roman" w:hAnsi="Times New Roman"/>
          <w:b/>
          <w:sz w:val="24"/>
          <w:szCs w:val="24"/>
        </w:rPr>
        <w:tab/>
        <w:t>Ms A T Lovemore (DA) to ask the Minister of Basic Education:</w:t>
      </w:r>
    </w:p>
    <w:p w:rsidR="006C4835" w:rsidRPr="0022227C" w:rsidRDefault="006C4835" w:rsidP="0022227C">
      <w:pPr>
        <w:spacing w:before="100" w:beforeAutospacing="1" w:after="100" w:afterAutospacing="1" w:line="240" w:lineRule="auto"/>
        <w:ind w:left="1418" w:hanging="709"/>
        <w:jc w:val="both"/>
        <w:rPr>
          <w:rFonts w:ascii="Times New Roman" w:hAnsi="Times New Roman"/>
          <w:sz w:val="24"/>
          <w:szCs w:val="24"/>
        </w:rPr>
      </w:pPr>
      <w:r w:rsidRPr="0022227C">
        <w:rPr>
          <w:rFonts w:ascii="Times New Roman" w:hAnsi="Times New Roman"/>
          <w:sz w:val="24"/>
          <w:szCs w:val="24"/>
        </w:rPr>
        <w:t>(1)</w:t>
      </w:r>
      <w:r w:rsidRPr="0022227C">
        <w:rPr>
          <w:rFonts w:ascii="Times New Roman" w:hAnsi="Times New Roman"/>
          <w:sz w:val="24"/>
          <w:szCs w:val="24"/>
        </w:rPr>
        <w:tab/>
        <w:t>(a) What investigations have been completed by the National Education Evaluation and Development Unit (NEEDU) since its formation in 2009 and (b) for each investigation, when (i) did she receive and/or (ii) does she expect the relevant  report;</w:t>
      </w:r>
    </w:p>
    <w:p w:rsidR="006C4835" w:rsidRPr="0022227C" w:rsidRDefault="006C4835" w:rsidP="0022227C">
      <w:pPr>
        <w:spacing w:before="100" w:beforeAutospacing="1" w:after="100" w:afterAutospacing="1" w:line="240" w:lineRule="auto"/>
        <w:ind w:left="1418" w:hanging="709"/>
        <w:jc w:val="both"/>
        <w:rPr>
          <w:rFonts w:ascii="Times New Roman" w:hAnsi="Times New Roman"/>
          <w:sz w:val="24"/>
          <w:szCs w:val="24"/>
        </w:rPr>
      </w:pPr>
      <w:r w:rsidRPr="0022227C">
        <w:rPr>
          <w:rFonts w:ascii="Times New Roman" w:hAnsi="Times New Roman"/>
          <w:sz w:val="24"/>
          <w:szCs w:val="24"/>
        </w:rPr>
        <w:t>(2)</w:t>
      </w:r>
      <w:r w:rsidRPr="0022227C">
        <w:rPr>
          <w:rFonts w:ascii="Times New Roman" w:hAnsi="Times New Roman"/>
          <w:sz w:val="24"/>
          <w:szCs w:val="24"/>
        </w:rPr>
        <w:tab/>
        <w:t>(a) when did she make each specified report public and (b) why were other reports not made public;</w:t>
      </w:r>
    </w:p>
    <w:p w:rsidR="006C4835" w:rsidRPr="0022227C" w:rsidRDefault="006C4835" w:rsidP="0022227C">
      <w:pPr>
        <w:spacing w:before="100" w:beforeAutospacing="1" w:after="100" w:afterAutospacing="1" w:line="240" w:lineRule="auto"/>
        <w:ind w:left="1418" w:hanging="709"/>
        <w:jc w:val="both"/>
        <w:rPr>
          <w:rFonts w:ascii="Times New Roman" w:hAnsi="Times New Roman"/>
          <w:sz w:val="24"/>
          <w:szCs w:val="24"/>
        </w:rPr>
      </w:pPr>
      <w:r w:rsidRPr="0022227C">
        <w:rPr>
          <w:rFonts w:ascii="Times New Roman" w:hAnsi="Times New Roman"/>
          <w:sz w:val="24"/>
          <w:szCs w:val="24"/>
        </w:rPr>
        <w:t>(3)</w:t>
      </w:r>
      <w:r w:rsidRPr="0022227C">
        <w:rPr>
          <w:rFonts w:ascii="Times New Roman" w:hAnsi="Times New Roman"/>
          <w:sz w:val="24"/>
          <w:szCs w:val="24"/>
        </w:rPr>
        <w:tab/>
        <w:t>what are the details of investigations currently being conducted or planned by NEEDU, including the time frames;</w:t>
      </w:r>
    </w:p>
    <w:p w:rsidR="006C4835" w:rsidRPr="0022227C" w:rsidRDefault="006C4835" w:rsidP="0022227C">
      <w:pPr>
        <w:spacing w:before="100" w:beforeAutospacing="1" w:after="100" w:afterAutospacing="1" w:line="240" w:lineRule="auto"/>
        <w:ind w:left="1418" w:hanging="709"/>
        <w:jc w:val="both"/>
        <w:rPr>
          <w:rFonts w:ascii="Times New Roman" w:hAnsi="Times New Roman"/>
          <w:sz w:val="24"/>
          <w:szCs w:val="24"/>
        </w:rPr>
      </w:pPr>
      <w:r w:rsidRPr="0022227C">
        <w:rPr>
          <w:rFonts w:ascii="Times New Roman" w:hAnsi="Times New Roman"/>
          <w:sz w:val="24"/>
          <w:szCs w:val="24"/>
        </w:rPr>
        <w:t>(4)</w:t>
      </w:r>
      <w:r w:rsidRPr="0022227C">
        <w:rPr>
          <w:rFonts w:ascii="Times New Roman" w:hAnsi="Times New Roman"/>
          <w:sz w:val="24"/>
          <w:szCs w:val="24"/>
        </w:rPr>
        <w:tab/>
        <w:t xml:space="preserve">(a) why was the contract of a certain person (name furnished) not renewed and (b) who is currently leading NEEDU; </w:t>
      </w:r>
    </w:p>
    <w:p w:rsidR="006C4835" w:rsidRPr="0022227C" w:rsidRDefault="006C4835" w:rsidP="0022227C">
      <w:pPr>
        <w:spacing w:before="100" w:beforeAutospacing="1" w:after="100" w:afterAutospacing="1" w:line="240" w:lineRule="auto"/>
        <w:ind w:left="1418" w:hanging="709"/>
        <w:jc w:val="both"/>
        <w:rPr>
          <w:rFonts w:ascii="Times New Roman" w:hAnsi="Times New Roman"/>
          <w:sz w:val="20"/>
          <w:szCs w:val="20"/>
        </w:rPr>
      </w:pPr>
      <w:r w:rsidRPr="0022227C">
        <w:rPr>
          <w:rFonts w:ascii="Times New Roman" w:hAnsi="Times New Roman"/>
          <w:sz w:val="24"/>
          <w:szCs w:val="24"/>
        </w:rPr>
        <w:t>(5)</w:t>
      </w:r>
      <w:r w:rsidRPr="0022227C">
        <w:rPr>
          <w:rFonts w:ascii="Times New Roman" w:hAnsi="Times New Roman"/>
          <w:sz w:val="24"/>
          <w:szCs w:val="24"/>
        </w:rPr>
        <w:tab/>
        <w:t>whether she intends to have NEEDU established as a statutory entity; if not, why not; if so, what are the relevant details?</w:t>
      </w:r>
      <w:r w:rsidRPr="0022227C">
        <w:rPr>
          <w:rFonts w:ascii="Times New Roman" w:hAnsi="Times New Roman"/>
          <w:sz w:val="24"/>
          <w:szCs w:val="24"/>
        </w:rPr>
        <w:tab/>
      </w:r>
      <w:r w:rsidRPr="0022227C">
        <w:rPr>
          <w:rFonts w:ascii="Times New Roman" w:hAnsi="Times New Roman"/>
          <w:sz w:val="24"/>
          <w:szCs w:val="24"/>
        </w:rPr>
        <w:tab/>
      </w:r>
      <w:r w:rsidRPr="0022227C">
        <w:rPr>
          <w:rFonts w:ascii="Times New Roman" w:hAnsi="Times New Roman"/>
          <w:sz w:val="20"/>
          <w:szCs w:val="20"/>
        </w:rPr>
        <w:t>NW3582E</w:t>
      </w:r>
    </w:p>
    <w:p w:rsidR="006C4835" w:rsidRPr="0010380B" w:rsidRDefault="006C4835">
      <w:pPr>
        <w:rPr>
          <w:rFonts w:ascii="Times New Roman" w:hAnsi="Times New Roman"/>
          <w:b/>
          <w:sz w:val="24"/>
          <w:szCs w:val="24"/>
        </w:rPr>
      </w:pPr>
      <w:r w:rsidRPr="0010380B">
        <w:rPr>
          <w:rFonts w:ascii="Times New Roman" w:hAnsi="Times New Roman"/>
          <w:b/>
          <w:sz w:val="24"/>
          <w:szCs w:val="24"/>
        </w:rPr>
        <w:t>RESPONSE</w:t>
      </w:r>
    </w:p>
    <w:p w:rsidR="006C4835" w:rsidRPr="00AC2B2F" w:rsidRDefault="006C4835">
      <w:pPr>
        <w:rPr>
          <w:rFonts w:ascii="Times New Roman" w:hAnsi="Times New Roman"/>
          <w:b/>
          <w:sz w:val="24"/>
          <w:szCs w:val="24"/>
        </w:rPr>
      </w:pPr>
      <w:r w:rsidRPr="00AC2B2F">
        <w:rPr>
          <w:rFonts w:ascii="Times New Roman" w:hAnsi="Times New Roman"/>
          <w:b/>
          <w:sz w:val="24"/>
          <w:szCs w:val="24"/>
        </w:rPr>
        <w:t xml:space="preserve">Question 1  </w:t>
      </w:r>
    </w:p>
    <w:p w:rsidR="006C4835" w:rsidRPr="0010380B" w:rsidRDefault="006C4835" w:rsidP="0010380B">
      <w:pPr>
        <w:numPr>
          <w:ilvl w:val="0"/>
          <w:numId w:val="1"/>
        </w:numPr>
        <w:spacing w:before="100" w:beforeAutospacing="1" w:after="100" w:afterAutospacing="1"/>
        <w:ind w:left="426"/>
        <w:jc w:val="both"/>
        <w:outlineLvl w:val="0"/>
        <w:rPr>
          <w:rFonts w:ascii="Times New Roman" w:hAnsi="Times New Roman"/>
          <w:sz w:val="24"/>
          <w:szCs w:val="24"/>
        </w:rPr>
      </w:pPr>
      <w:r w:rsidRPr="0010380B">
        <w:rPr>
          <w:rFonts w:ascii="Times New Roman" w:hAnsi="Times New Roman"/>
          <w:sz w:val="24"/>
          <w:szCs w:val="24"/>
        </w:rPr>
        <w:t xml:space="preserve"> The 2012 NEEDU Report on </w:t>
      </w:r>
      <w:r w:rsidRPr="0010380B">
        <w:rPr>
          <w:rFonts w:ascii="Times New Roman" w:hAnsi="Times New Roman"/>
          <w:sz w:val="24"/>
          <w:szCs w:val="24"/>
          <w:u w:val="single"/>
        </w:rPr>
        <w:t>Foundation Phase</w:t>
      </w:r>
      <w:r w:rsidRPr="0010380B">
        <w:rPr>
          <w:rFonts w:ascii="Times New Roman" w:hAnsi="Times New Roman"/>
          <w:sz w:val="24"/>
          <w:szCs w:val="24"/>
        </w:rPr>
        <w:t xml:space="preserve"> (Grades 1-3) was submitted to the Ministry in May 2013 and was launched in May 2013;</w:t>
      </w:r>
    </w:p>
    <w:p w:rsidR="006C4835" w:rsidRPr="0010380B" w:rsidRDefault="006C4835" w:rsidP="0010380B">
      <w:pPr>
        <w:numPr>
          <w:ilvl w:val="0"/>
          <w:numId w:val="1"/>
        </w:numPr>
        <w:spacing w:before="100" w:beforeAutospacing="1" w:after="100" w:afterAutospacing="1"/>
        <w:ind w:left="426"/>
        <w:jc w:val="both"/>
        <w:outlineLvl w:val="0"/>
        <w:rPr>
          <w:rFonts w:ascii="Times New Roman" w:hAnsi="Times New Roman"/>
          <w:sz w:val="24"/>
          <w:szCs w:val="24"/>
        </w:rPr>
      </w:pPr>
      <w:r w:rsidRPr="0010380B">
        <w:rPr>
          <w:rFonts w:ascii="Times New Roman" w:hAnsi="Times New Roman"/>
          <w:sz w:val="24"/>
          <w:szCs w:val="24"/>
        </w:rPr>
        <w:t xml:space="preserve">The 2013 NEEDU Report (similar to the 2013 Report) on </w:t>
      </w:r>
      <w:r w:rsidRPr="0010380B">
        <w:rPr>
          <w:rFonts w:ascii="Times New Roman" w:hAnsi="Times New Roman"/>
          <w:sz w:val="24"/>
          <w:szCs w:val="24"/>
          <w:u w:val="single"/>
        </w:rPr>
        <w:t>Intermediate Phase</w:t>
      </w:r>
      <w:r w:rsidRPr="0010380B">
        <w:rPr>
          <w:rFonts w:ascii="Times New Roman" w:hAnsi="Times New Roman"/>
          <w:sz w:val="24"/>
          <w:szCs w:val="24"/>
        </w:rPr>
        <w:t xml:space="preserve"> (Grades 4-6) was submitted to the Ministry in November 2013 and was released in May 2014; and </w:t>
      </w:r>
    </w:p>
    <w:p w:rsidR="006C4835" w:rsidRDefault="006C4835" w:rsidP="0010380B">
      <w:pPr>
        <w:numPr>
          <w:ilvl w:val="0"/>
          <w:numId w:val="1"/>
        </w:numPr>
        <w:spacing w:before="100" w:beforeAutospacing="1" w:after="100" w:afterAutospacing="1"/>
        <w:ind w:left="426"/>
        <w:jc w:val="both"/>
        <w:outlineLvl w:val="0"/>
        <w:rPr>
          <w:rFonts w:ascii="Times New Roman" w:hAnsi="Times New Roman"/>
          <w:sz w:val="24"/>
          <w:szCs w:val="24"/>
        </w:rPr>
      </w:pPr>
      <w:r w:rsidRPr="0010380B">
        <w:rPr>
          <w:rFonts w:ascii="Times New Roman" w:hAnsi="Times New Roman"/>
          <w:sz w:val="24"/>
          <w:szCs w:val="24"/>
        </w:rPr>
        <w:t xml:space="preserve">The 2014 NEEDU Report on </w:t>
      </w:r>
      <w:r w:rsidRPr="0010380B">
        <w:rPr>
          <w:rFonts w:ascii="Times New Roman" w:hAnsi="Times New Roman"/>
          <w:sz w:val="24"/>
          <w:szCs w:val="24"/>
          <w:u w:val="single"/>
        </w:rPr>
        <w:t>Further Education and Training  Phase</w:t>
      </w:r>
      <w:r w:rsidRPr="0010380B">
        <w:rPr>
          <w:rFonts w:ascii="Times New Roman" w:hAnsi="Times New Roman"/>
          <w:sz w:val="24"/>
          <w:szCs w:val="24"/>
        </w:rPr>
        <w:t xml:space="preserve"> (Grades 10-12) is being finali</w:t>
      </w:r>
      <w:r>
        <w:rPr>
          <w:rFonts w:ascii="Times New Roman" w:hAnsi="Times New Roman"/>
          <w:sz w:val="24"/>
          <w:szCs w:val="24"/>
        </w:rPr>
        <w:t>s</w:t>
      </w:r>
      <w:r w:rsidRPr="0010380B">
        <w:rPr>
          <w:rFonts w:ascii="Times New Roman" w:hAnsi="Times New Roman"/>
          <w:sz w:val="24"/>
          <w:szCs w:val="24"/>
        </w:rPr>
        <w:t>ed by NEEDU.</w:t>
      </w:r>
    </w:p>
    <w:p w:rsidR="006C4835" w:rsidRDefault="006C4835" w:rsidP="0010380B">
      <w:pPr>
        <w:spacing w:before="100" w:beforeAutospacing="1" w:after="100" w:afterAutospacing="1"/>
        <w:jc w:val="both"/>
        <w:outlineLvl w:val="0"/>
        <w:rPr>
          <w:rFonts w:ascii="Times New Roman" w:hAnsi="Times New Roman"/>
          <w:sz w:val="24"/>
          <w:szCs w:val="24"/>
        </w:rPr>
      </w:pPr>
    </w:p>
    <w:p w:rsidR="006C4835" w:rsidRDefault="006C4835" w:rsidP="0010380B">
      <w:pPr>
        <w:spacing w:before="100" w:beforeAutospacing="1" w:after="100" w:afterAutospacing="1"/>
        <w:jc w:val="both"/>
        <w:outlineLvl w:val="0"/>
        <w:rPr>
          <w:rFonts w:ascii="Times New Roman" w:hAnsi="Times New Roman"/>
          <w:sz w:val="24"/>
          <w:szCs w:val="24"/>
        </w:rPr>
      </w:pPr>
    </w:p>
    <w:p w:rsidR="006C4835" w:rsidRPr="00AC2B2F" w:rsidRDefault="006C4835" w:rsidP="0010380B">
      <w:pPr>
        <w:spacing w:before="100" w:beforeAutospacing="1" w:after="100" w:afterAutospacing="1"/>
        <w:jc w:val="both"/>
        <w:outlineLvl w:val="0"/>
        <w:rPr>
          <w:rFonts w:ascii="Times New Roman" w:hAnsi="Times New Roman"/>
          <w:b/>
          <w:sz w:val="24"/>
          <w:szCs w:val="24"/>
        </w:rPr>
      </w:pPr>
      <w:r w:rsidRPr="00AC2B2F">
        <w:rPr>
          <w:rFonts w:ascii="Times New Roman" w:hAnsi="Times New Roman"/>
          <w:b/>
          <w:sz w:val="24"/>
          <w:szCs w:val="24"/>
        </w:rPr>
        <w:t>Question 2</w:t>
      </w:r>
    </w:p>
    <w:p w:rsidR="006C4835" w:rsidRPr="0010380B" w:rsidRDefault="006C4835" w:rsidP="0010380B">
      <w:pPr>
        <w:spacing w:after="240"/>
        <w:jc w:val="both"/>
        <w:outlineLvl w:val="0"/>
        <w:rPr>
          <w:rFonts w:ascii="Times New Roman" w:hAnsi="Times New Roman"/>
          <w:sz w:val="24"/>
          <w:szCs w:val="24"/>
        </w:rPr>
      </w:pPr>
      <w:r w:rsidRPr="0010380B">
        <w:rPr>
          <w:rFonts w:ascii="Times New Roman" w:hAnsi="Times New Roman"/>
          <w:sz w:val="24"/>
          <w:szCs w:val="24"/>
        </w:rPr>
        <w:t xml:space="preserve">Section 7(1) (g) of the </w:t>
      </w:r>
      <w:r w:rsidRPr="0010380B">
        <w:rPr>
          <w:rFonts w:ascii="Times New Roman" w:hAnsi="Times New Roman"/>
          <w:i/>
          <w:sz w:val="24"/>
          <w:szCs w:val="24"/>
        </w:rPr>
        <w:t>Regulations for the Establishment of the Office of Standards and Compliance for Basic Education (OSCBE),</w:t>
      </w:r>
      <w:r w:rsidRPr="0010380B">
        <w:rPr>
          <w:rFonts w:ascii="Times New Roman" w:hAnsi="Times New Roman"/>
          <w:sz w:val="24"/>
          <w:szCs w:val="24"/>
        </w:rPr>
        <w:t xml:space="preserve"> currently known as NEEDU, provides that NEEDU must “prepare and submit to the Minister reports on the state of the education system.” These Regulations, which must still be approved by the Council of </w:t>
      </w:r>
      <w:r>
        <w:rPr>
          <w:rFonts w:ascii="Times New Roman" w:hAnsi="Times New Roman"/>
          <w:sz w:val="24"/>
          <w:szCs w:val="24"/>
        </w:rPr>
        <w:t xml:space="preserve">Education </w:t>
      </w:r>
      <w:r w:rsidRPr="0010380B">
        <w:rPr>
          <w:rFonts w:ascii="Times New Roman" w:hAnsi="Times New Roman"/>
          <w:sz w:val="24"/>
          <w:szCs w:val="24"/>
        </w:rPr>
        <w:t>Ministers (CEM) before they are finali</w:t>
      </w:r>
      <w:r>
        <w:rPr>
          <w:rFonts w:ascii="Times New Roman" w:hAnsi="Times New Roman"/>
          <w:sz w:val="24"/>
          <w:szCs w:val="24"/>
        </w:rPr>
        <w:t>s</w:t>
      </w:r>
      <w:r w:rsidRPr="0010380B">
        <w:rPr>
          <w:rFonts w:ascii="Times New Roman" w:hAnsi="Times New Roman"/>
          <w:sz w:val="24"/>
          <w:szCs w:val="24"/>
        </w:rPr>
        <w:t>ed, do not obligate the Minister to publish NEEDU reports.</w:t>
      </w:r>
    </w:p>
    <w:p w:rsidR="006C4835" w:rsidRDefault="006C4835" w:rsidP="0010380B">
      <w:pPr>
        <w:jc w:val="both"/>
        <w:outlineLvl w:val="0"/>
        <w:rPr>
          <w:rFonts w:ascii="Times New Roman" w:hAnsi="Times New Roman"/>
          <w:sz w:val="24"/>
          <w:szCs w:val="24"/>
        </w:rPr>
      </w:pPr>
      <w:r w:rsidRPr="0010380B">
        <w:rPr>
          <w:rFonts w:ascii="Times New Roman" w:hAnsi="Times New Roman"/>
          <w:sz w:val="24"/>
          <w:szCs w:val="24"/>
        </w:rPr>
        <w:t>As contemplated in Section 7(1) (g) of the OSCBE Regulations</w:t>
      </w:r>
      <w:r w:rsidRPr="0010380B">
        <w:rPr>
          <w:rFonts w:ascii="Times New Roman" w:hAnsi="Times New Roman"/>
          <w:i/>
          <w:sz w:val="24"/>
          <w:szCs w:val="24"/>
        </w:rPr>
        <w:t xml:space="preserve">, </w:t>
      </w:r>
      <w:r w:rsidRPr="0010380B">
        <w:rPr>
          <w:rFonts w:ascii="Times New Roman" w:hAnsi="Times New Roman"/>
          <w:sz w:val="24"/>
          <w:szCs w:val="24"/>
        </w:rPr>
        <w:t>NEEDU prepares its annual reports and presents them to the Minister. The Minister publishes these reports at her discretion. The Minister published the first two NEEDU reports, as noted in Response 1 above. NEEDU is currently finali</w:t>
      </w:r>
      <w:r>
        <w:rPr>
          <w:rFonts w:ascii="Times New Roman" w:hAnsi="Times New Roman"/>
          <w:sz w:val="24"/>
          <w:szCs w:val="24"/>
        </w:rPr>
        <w:t>s</w:t>
      </w:r>
      <w:r w:rsidRPr="0010380B">
        <w:rPr>
          <w:rFonts w:ascii="Times New Roman" w:hAnsi="Times New Roman"/>
          <w:sz w:val="24"/>
          <w:szCs w:val="24"/>
        </w:rPr>
        <w:t xml:space="preserve">ing its third annual report (the 2014 Report) and </w:t>
      </w:r>
      <w:r>
        <w:rPr>
          <w:rFonts w:ascii="Times New Roman" w:hAnsi="Times New Roman"/>
          <w:sz w:val="24"/>
          <w:szCs w:val="24"/>
        </w:rPr>
        <w:t xml:space="preserve">it </w:t>
      </w:r>
      <w:r w:rsidRPr="0010380B">
        <w:rPr>
          <w:rFonts w:ascii="Times New Roman" w:hAnsi="Times New Roman"/>
          <w:sz w:val="24"/>
          <w:szCs w:val="24"/>
        </w:rPr>
        <w:t xml:space="preserve">will be submitted to the Minister on completion. </w:t>
      </w:r>
    </w:p>
    <w:p w:rsidR="006C4835" w:rsidRPr="00AC2B2F" w:rsidRDefault="006C4835" w:rsidP="0010380B">
      <w:pPr>
        <w:jc w:val="both"/>
        <w:outlineLvl w:val="0"/>
        <w:rPr>
          <w:rFonts w:ascii="Times New Roman" w:hAnsi="Times New Roman"/>
          <w:b/>
          <w:sz w:val="24"/>
          <w:szCs w:val="24"/>
        </w:rPr>
      </w:pPr>
      <w:r w:rsidRPr="00AC2B2F">
        <w:rPr>
          <w:rFonts w:ascii="Times New Roman" w:hAnsi="Times New Roman"/>
          <w:b/>
          <w:sz w:val="24"/>
          <w:szCs w:val="24"/>
        </w:rPr>
        <w:t>Question 3</w:t>
      </w:r>
    </w:p>
    <w:p w:rsidR="006C4835" w:rsidRPr="0010380B" w:rsidRDefault="006C4835" w:rsidP="0010380B">
      <w:pPr>
        <w:spacing w:after="240"/>
        <w:jc w:val="both"/>
        <w:outlineLvl w:val="0"/>
        <w:rPr>
          <w:rFonts w:ascii="Times New Roman" w:hAnsi="Times New Roman"/>
          <w:sz w:val="24"/>
          <w:szCs w:val="24"/>
        </w:rPr>
      </w:pPr>
      <w:r w:rsidRPr="0010380B">
        <w:rPr>
          <w:rFonts w:ascii="Times New Roman" w:hAnsi="Times New Roman"/>
          <w:sz w:val="24"/>
          <w:szCs w:val="24"/>
        </w:rPr>
        <w:t>The following is the NEEDU plan:</w:t>
      </w:r>
    </w:p>
    <w:tbl>
      <w:tblPr>
        <w:tblW w:w="0" w:type="auto"/>
        <w:tblInd w:w="108" w:type="dxa"/>
        <w:tblBorders>
          <w:top w:val="single" w:sz="18" w:space="0" w:color="auto"/>
          <w:bottom w:val="single" w:sz="18" w:space="0" w:color="auto"/>
        </w:tblBorders>
        <w:tblLayout w:type="fixed"/>
        <w:tblLook w:val="00A0"/>
      </w:tblPr>
      <w:tblGrid>
        <w:gridCol w:w="993"/>
        <w:gridCol w:w="850"/>
        <w:gridCol w:w="1701"/>
        <w:gridCol w:w="1559"/>
        <w:gridCol w:w="709"/>
        <w:gridCol w:w="1134"/>
        <w:gridCol w:w="1701"/>
      </w:tblGrid>
      <w:tr w:rsidR="006C4835" w:rsidRPr="007868CF" w:rsidTr="00767B96">
        <w:tc>
          <w:tcPr>
            <w:tcW w:w="993" w:type="dxa"/>
            <w:tcBorders>
              <w:top w:val="single" w:sz="18" w:space="0" w:color="auto"/>
              <w:left w:val="nil"/>
              <w:bottom w:val="single" w:sz="18" w:space="0" w:color="auto"/>
              <w:right w:val="nil"/>
            </w:tcBorders>
            <w:shd w:val="clear" w:color="auto" w:fill="C0504D"/>
          </w:tcPr>
          <w:p w:rsidR="006C4835" w:rsidRPr="0010380B" w:rsidRDefault="006C4835" w:rsidP="00767B96">
            <w:pPr>
              <w:jc w:val="both"/>
              <w:rPr>
                <w:rFonts w:ascii="Times New Roman" w:hAnsi="Times New Roman"/>
                <w:b/>
                <w:bCs/>
              </w:rPr>
            </w:pPr>
            <w:r w:rsidRPr="0010380B">
              <w:rPr>
                <w:rFonts w:ascii="Times New Roman" w:hAnsi="Times New Roman"/>
              </w:rPr>
              <w:t>Year</w:t>
            </w:r>
          </w:p>
        </w:tc>
        <w:tc>
          <w:tcPr>
            <w:tcW w:w="850" w:type="dxa"/>
            <w:tcBorders>
              <w:top w:val="single" w:sz="18" w:space="0" w:color="auto"/>
              <w:left w:val="nil"/>
              <w:bottom w:val="single" w:sz="18" w:space="0" w:color="auto"/>
              <w:right w:val="nil"/>
            </w:tcBorders>
            <w:shd w:val="clear" w:color="auto" w:fill="C0504D"/>
          </w:tcPr>
          <w:p w:rsidR="006C4835" w:rsidRPr="0010380B" w:rsidRDefault="006C4835" w:rsidP="00767B96">
            <w:pPr>
              <w:jc w:val="both"/>
              <w:rPr>
                <w:rFonts w:ascii="Times New Roman" w:hAnsi="Times New Roman"/>
                <w:b/>
                <w:bCs/>
                <w:sz w:val="16"/>
              </w:rPr>
            </w:pPr>
            <w:r w:rsidRPr="0010380B">
              <w:rPr>
                <w:rFonts w:ascii="Times New Roman" w:hAnsi="Times New Roman"/>
                <w:sz w:val="16"/>
              </w:rPr>
              <w:t>Semester</w:t>
            </w:r>
          </w:p>
        </w:tc>
        <w:tc>
          <w:tcPr>
            <w:tcW w:w="1701" w:type="dxa"/>
            <w:tcBorders>
              <w:top w:val="single" w:sz="18" w:space="0" w:color="auto"/>
              <w:left w:val="nil"/>
              <w:bottom w:val="single" w:sz="18" w:space="0" w:color="auto"/>
              <w:right w:val="nil"/>
            </w:tcBorders>
            <w:shd w:val="clear" w:color="auto" w:fill="C0504D"/>
          </w:tcPr>
          <w:p w:rsidR="006C4835" w:rsidRPr="0010380B" w:rsidRDefault="006C4835" w:rsidP="00767B96">
            <w:pPr>
              <w:jc w:val="both"/>
              <w:rPr>
                <w:rFonts w:ascii="Times New Roman" w:hAnsi="Times New Roman"/>
                <w:b/>
                <w:bCs/>
              </w:rPr>
            </w:pPr>
            <w:r w:rsidRPr="0010380B">
              <w:rPr>
                <w:rFonts w:ascii="Times New Roman" w:hAnsi="Times New Roman"/>
              </w:rPr>
              <w:t>Location</w:t>
            </w:r>
          </w:p>
        </w:tc>
        <w:tc>
          <w:tcPr>
            <w:tcW w:w="1559" w:type="dxa"/>
            <w:tcBorders>
              <w:top w:val="single" w:sz="18" w:space="0" w:color="auto"/>
              <w:left w:val="nil"/>
              <w:bottom w:val="single" w:sz="18" w:space="0" w:color="auto"/>
              <w:right w:val="nil"/>
            </w:tcBorders>
            <w:shd w:val="clear" w:color="auto" w:fill="C0504D"/>
          </w:tcPr>
          <w:p w:rsidR="006C4835" w:rsidRPr="0010380B" w:rsidRDefault="006C4835" w:rsidP="00767B96">
            <w:pPr>
              <w:jc w:val="both"/>
              <w:rPr>
                <w:rFonts w:ascii="Times New Roman" w:hAnsi="Times New Roman"/>
                <w:b/>
                <w:bCs/>
              </w:rPr>
            </w:pPr>
            <w:r w:rsidRPr="0010380B">
              <w:rPr>
                <w:rFonts w:ascii="Times New Roman" w:hAnsi="Times New Roman"/>
              </w:rPr>
              <w:t>School Phase</w:t>
            </w:r>
          </w:p>
        </w:tc>
        <w:tc>
          <w:tcPr>
            <w:tcW w:w="709" w:type="dxa"/>
            <w:tcBorders>
              <w:top w:val="single" w:sz="18" w:space="0" w:color="auto"/>
              <w:left w:val="nil"/>
              <w:bottom w:val="single" w:sz="18" w:space="0" w:color="auto"/>
              <w:right w:val="nil"/>
            </w:tcBorders>
            <w:shd w:val="clear" w:color="auto" w:fill="C0504D"/>
          </w:tcPr>
          <w:p w:rsidR="006C4835" w:rsidRPr="0010380B" w:rsidRDefault="006C4835" w:rsidP="00767B96">
            <w:pPr>
              <w:jc w:val="center"/>
              <w:rPr>
                <w:rFonts w:ascii="Times New Roman" w:hAnsi="Times New Roman"/>
                <w:b/>
                <w:bCs/>
              </w:rPr>
            </w:pPr>
            <w:r w:rsidRPr="0010380B">
              <w:rPr>
                <w:rFonts w:ascii="Times New Roman" w:hAnsi="Times New Roman"/>
              </w:rPr>
              <w:t>Provinces</w:t>
            </w:r>
          </w:p>
        </w:tc>
        <w:tc>
          <w:tcPr>
            <w:tcW w:w="1134" w:type="dxa"/>
            <w:tcBorders>
              <w:top w:val="single" w:sz="18" w:space="0" w:color="auto"/>
              <w:left w:val="nil"/>
              <w:bottom w:val="single" w:sz="18" w:space="0" w:color="auto"/>
              <w:right w:val="nil"/>
            </w:tcBorders>
            <w:shd w:val="clear" w:color="auto" w:fill="C0504D"/>
          </w:tcPr>
          <w:p w:rsidR="006C4835" w:rsidRPr="0010380B" w:rsidRDefault="006C4835" w:rsidP="00767B96">
            <w:pPr>
              <w:jc w:val="center"/>
              <w:rPr>
                <w:rFonts w:ascii="Times New Roman" w:hAnsi="Times New Roman"/>
                <w:b/>
                <w:bCs/>
              </w:rPr>
            </w:pPr>
            <w:r w:rsidRPr="0010380B">
              <w:rPr>
                <w:rFonts w:ascii="Times New Roman" w:hAnsi="Times New Roman"/>
              </w:rPr>
              <w:t>Districts</w:t>
            </w:r>
          </w:p>
        </w:tc>
        <w:tc>
          <w:tcPr>
            <w:tcW w:w="1701" w:type="dxa"/>
            <w:tcBorders>
              <w:top w:val="single" w:sz="18" w:space="0" w:color="auto"/>
              <w:left w:val="nil"/>
              <w:bottom w:val="single" w:sz="18" w:space="0" w:color="auto"/>
              <w:right w:val="nil"/>
            </w:tcBorders>
            <w:shd w:val="clear" w:color="auto" w:fill="C0504D"/>
          </w:tcPr>
          <w:p w:rsidR="006C4835" w:rsidRPr="0010380B" w:rsidRDefault="006C4835" w:rsidP="00767B96">
            <w:pPr>
              <w:jc w:val="center"/>
              <w:rPr>
                <w:rFonts w:ascii="Times New Roman" w:hAnsi="Times New Roman"/>
                <w:b/>
                <w:bCs/>
              </w:rPr>
            </w:pPr>
            <w:r w:rsidRPr="0010380B">
              <w:rPr>
                <w:rFonts w:ascii="Times New Roman" w:hAnsi="Times New Roman"/>
              </w:rPr>
              <w:t>Schools</w:t>
            </w:r>
          </w:p>
        </w:tc>
      </w:tr>
      <w:tr w:rsidR="006C4835" w:rsidRPr="007868CF" w:rsidTr="00767B96">
        <w:tc>
          <w:tcPr>
            <w:tcW w:w="993" w:type="dxa"/>
            <w:tcBorders>
              <w:left w:val="nil"/>
              <w:bottom w:val="nil"/>
              <w:right w:val="nil"/>
            </w:tcBorders>
            <w:shd w:val="clear" w:color="auto" w:fill="C0504D"/>
          </w:tcPr>
          <w:p w:rsidR="006C4835" w:rsidRPr="0010380B" w:rsidRDefault="006C4835" w:rsidP="00767B96">
            <w:pPr>
              <w:jc w:val="both"/>
              <w:rPr>
                <w:rFonts w:ascii="Times New Roman" w:hAnsi="Times New Roman"/>
                <w:b/>
                <w:bCs/>
              </w:rPr>
            </w:pPr>
            <w:r w:rsidRPr="0010380B">
              <w:rPr>
                <w:rFonts w:ascii="Times New Roman" w:hAnsi="Times New Roman"/>
              </w:rPr>
              <w:t>2012</w:t>
            </w:r>
          </w:p>
        </w:tc>
        <w:tc>
          <w:tcPr>
            <w:tcW w:w="850" w:type="dxa"/>
            <w:shd w:val="clear" w:color="auto" w:fill="D8D8D8"/>
          </w:tcPr>
          <w:p w:rsidR="006C4835" w:rsidRPr="0010380B" w:rsidRDefault="006C4835" w:rsidP="00767B96">
            <w:pPr>
              <w:jc w:val="both"/>
              <w:rPr>
                <w:rFonts w:ascii="Times New Roman" w:hAnsi="Times New Roman"/>
              </w:rPr>
            </w:pPr>
            <w:r w:rsidRPr="0010380B">
              <w:rPr>
                <w:rFonts w:ascii="Times New Roman" w:hAnsi="Times New Roman"/>
              </w:rPr>
              <w:t>2</w:t>
            </w:r>
            <w:r w:rsidRPr="0010380B">
              <w:rPr>
                <w:rFonts w:ascii="Times New Roman" w:hAnsi="Times New Roman"/>
                <w:vertAlign w:val="superscript"/>
              </w:rPr>
              <w:t>nd</w:t>
            </w:r>
            <w:r w:rsidRPr="0010380B">
              <w:rPr>
                <w:rFonts w:ascii="Times New Roman" w:hAnsi="Times New Roman"/>
              </w:rPr>
              <w:t xml:space="preserve">  </w:t>
            </w:r>
          </w:p>
        </w:tc>
        <w:tc>
          <w:tcPr>
            <w:tcW w:w="1701" w:type="dxa"/>
            <w:shd w:val="clear" w:color="auto" w:fill="D8D8D8"/>
          </w:tcPr>
          <w:p w:rsidR="006C4835" w:rsidRPr="0010380B" w:rsidRDefault="006C4835" w:rsidP="00767B96">
            <w:pPr>
              <w:jc w:val="both"/>
              <w:rPr>
                <w:rFonts w:ascii="Times New Roman" w:hAnsi="Times New Roman"/>
              </w:rPr>
            </w:pPr>
            <w:r w:rsidRPr="0010380B">
              <w:rPr>
                <w:rFonts w:ascii="Times New Roman" w:hAnsi="Times New Roman"/>
              </w:rPr>
              <w:t>Urban</w:t>
            </w:r>
          </w:p>
        </w:tc>
        <w:tc>
          <w:tcPr>
            <w:tcW w:w="1559" w:type="dxa"/>
            <w:shd w:val="clear" w:color="auto" w:fill="D8D8D8"/>
          </w:tcPr>
          <w:p w:rsidR="006C4835" w:rsidRPr="0010380B" w:rsidRDefault="006C4835" w:rsidP="00767B96">
            <w:pPr>
              <w:jc w:val="both"/>
              <w:rPr>
                <w:rFonts w:ascii="Times New Roman" w:hAnsi="Times New Roman"/>
                <w:szCs w:val="16"/>
              </w:rPr>
            </w:pPr>
            <w:r w:rsidRPr="0010380B">
              <w:rPr>
                <w:rFonts w:ascii="Times New Roman" w:hAnsi="Times New Roman"/>
                <w:szCs w:val="16"/>
              </w:rPr>
              <w:t xml:space="preserve">Foundation </w:t>
            </w:r>
          </w:p>
        </w:tc>
        <w:tc>
          <w:tcPr>
            <w:tcW w:w="709" w:type="dxa"/>
            <w:shd w:val="clear" w:color="auto" w:fill="D8D8D8"/>
          </w:tcPr>
          <w:p w:rsidR="006C4835" w:rsidRPr="0010380B" w:rsidRDefault="006C4835" w:rsidP="00767B96">
            <w:pPr>
              <w:jc w:val="center"/>
              <w:rPr>
                <w:rFonts w:ascii="Times New Roman" w:hAnsi="Times New Roman"/>
              </w:rPr>
            </w:pPr>
            <w:r w:rsidRPr="0010380B">
              <w:rPr>
                <w:rFonts w:ascii="Times New Roman" w:hAnsi="Times New Roman"/>
              </w:rPr>
              <w:t>9</w:t>
            </w:r>
          </w:p>
        </w:tc>
        <w:tc>
          <w:tcPr>
            <w:tcW w:w="1134" w:type="dxa"/>
            <w:shd w:val="clear" w:color="auto" w:fill="D8D8D8"/>
          </w:tcPr>
          <w:p w:rsidR="006C4835" w:rsidRPr="0010380B" w:rsidRDefault="006C4835" w:rsidP="00767B96">
            <w:pPr>
              <w:jc w:val="right"/>
              <w:rPr>
                <w:rFonts w:ascii="Times New Roman" w:hAnsi="Times New Roman"/>
              </w:rPr>
            </w:pPr>
            <w:r w:rsidRPr="0010380B">
              <w:rPr>
                <w:rFonts w:ascii="Times New Roman" w:hAnsi="Times New Roman"/>
              </w:rPr>
              <w:t>15</w:t>
            </w:r>
          </w:p>
        </w:tc>
        <w:tc>
          <w:tcPr>
            <w:tcW w:w="1701" w:type="dxa"/>
            <w:shd w:val="clear" w:color="auto" w:fill="D8D8D8"/>
          </w:tcPr>
          <w:p w:rsidR="006C4835" w:rsidRPr="0010380B" w:rsidRDefault="006C4835" w:rsidP="00767B96">
            <w:pPr>
              <w:jc w:val="right"/>
              <w:rPr>
                <w:rFonts w:ascii="Times New Roman" w:hAnsi="Times New Roman"/>
              </w:rPr>
            </w:pPr>
            <w:r w:rsidRPr="0010380B">
              <w:rPr>
                <w:rFonts w:ascii="Times New Roman" w:hAnsi="Times New Roman"/>
              </w:rPr>
              <w:t>134</w:t>
            </w:r>
          </w:p>
        </w:tc>
      </w:tr>
      <w:tr w:rsidR="006C4835" w:rsidRPr="007868CF" w:rsidTr="00767B96">
        <w:tc>
          <w:tcPr>
            <w:tcW w:w="993" w:type="dxa"/>
            <w:vMerge w:val="restart"/>
            <w:tcBorders>
              <w:left w:val="nil"/>
              <w:bottom w:val="nil"/>
              <w:right w:val="nil"/>
            </w:tcBorders>
            <w:shd w:val="clear" w:color="auto" w:fill="C0504D"/>
          </w:tcPr>
          <w:p w:rsidR="006C4835" w:rsidRPr="0010380B" w:rsidRDefault="006C4835" w:rsidP="00767B96">
            <w:pPr>
              <w:jc w:val="both"/>
              <w:rPr>
                <w:rFonts w:ascii="Times New Roman" w:hAnsi="Times New Roman"/>
                <w:b/>
                <w:bCs/>
              </w:rPr>
            </w:pPr>
            <w:r w:rsidRPr="0010380B">
              <w:rPr>
                <w:rFonts w:ascii="Times New Roman" w:hAnsi="Times New Roman"/>
              </w:rPr>
              <w:t>2013</w:t>
            </w:r>
          </w:p>
        </w:tc>
        <w:tc>
          <w:tcPr>
            <w:tcW w:w="850" w:type="dxa"/>
          </w:tcPr>
          <w:p w:rsidR="006C4835" w:rsidRPr="0010380B" w:rsidRDefault="006C4835" w:rsidP="00767B96">
            <w:pPr>
              <w:jc w:val="both"/>
              <w:rPr>
                <w:rFonts w:ascii="Times New Roman" w:hAnsi="Times New Roman"/>
              </w:rPr>
            </w:pPr>
            <w:r w:rsidRPr="0010380B">
              <w:rPr>
                <w:rFonts w:ascii="Times New Roman" w:hAnsi="Times New Roman"/>
              </w:rPr>
              <w:t>1</w:t>
            </w:r>
            <w:r w:rsidRPr="0010380B">
              <w:rPr>
                <w:rFonts w:ascii="Times New Roman" w:hAnsi="Times New Roman"/>
                <w:vertAlign w:val="superscript"/>
              </w:rPr>
              <w:t>st</w:t>
            </w:r>
            <w:r w:rsidRPr="0010380B">
              <w:rPr>
                <w:rFonts w:ascii="Times New Roman" w:hAnsi="Times New Roman"/>
              </w:rPr>
              <w:t xml:space="preserve"> </w:t>
            </w:r>
          </w:p>
        </w:tc>
        <w:tc>
          <w:tcPr>
            <w:tcW w:w="1701" w:type="dxa"/>
          </w:tcPr>
          <w:p w:rsidR="006C4835" w:rsidRPr="0010380B" w:rsidRDefault="006C4835" w:rsidP="00767B96">
            <w:pPr>
              <w:jc w:val="both"/>
              <w:rPr>
                <w:rFonts w:ascii="Times New Roman" w:hAnsi="Times New Roman"/>
              </w:rPr>
            </w:pPr>
            <w:r w:rsidRPr="0010380B">
              <w:rPr>
                <w:rFonts w:ascii="Times New Roman" w:hAnsi="Times New Roman"/>
              </w:rPr>
              <w:t xml:space="preserve">Rural </w:t>
            </w:r>
            <w:r w:rsidRPr="0010380B">
              <w:rPr>
                <w:rFonts w:ascii="Times New Roman" w:hAnsi="Times New Roman"/>
                <w:sz w:val="20"/>
              </w:rPr>
              <w:t>monograde</w:t>
            </w:r>
          </w:p>
        </w:tc>
        <w:tc>
          <w:tcPr>
            <w:tcW w:w="1559" w:type="dxa"/>
          </w:tcPr>
          <w:p w:rsidR="006C4835" w:rsidRPr="0010380B" w:rsidRDefault="006C4835" w:rsidP="00767B96">
            <w:pPr>
              <w:jc w:val="both"/>
              <w:rPr>
                <w:rFonts w:ascii="Times New Roman" w:hAnsi="Times New Roman"/>
                <w:szCs w:val="16"/>
              </w:rPr>
            </w:pPr>
            <w:r w:rsidRPr="0010380B">
              <w:rPr>
                <w:rFonts w:ascii="Times New Roman" w:hAnsi="Times New Roman"/>
                <w:szCs w:val="16"/>
              </w:rPr>
              <w:t xml:space="preserve">Intermediate </w:t>
            </w:r>
          </w:p>
        </w:tc>
        <w:tc>
          <w:tcPr>
            <w:tcW w:w="709" w:type="dxa"/>
          </w:tcPr>
          <w:p w:rsidR="006C4835" w:rsidRPr="0010380B" w:rsidRDefault="006C4835" w:rsidP="00767B96">
            <w:pPr>
              <w:jc w:val="center"/>
              <w:rPr>
                <w:rFonts w:ascii="Times New Roman" w:hAnsi="Times New Roman"/>
              </w:rPr>
            </w:pPr>
            <w:r w:rsidRPr="0010380B">
              <w:rPr>
                <w:rFonts w:ascii="Times New Roman" w:hAnsi="Times New Roman"/>
              </w:rPr>
              <w:t>9</w:t>
            </w:r>
          </w:p>
        </w:tc>
        <w:tc>
          <w:tcPr>
            <w:tcW w:w="1134" w:type="dxa"/>
          </w:tcPr>
          <w:p w:rsidR="006C4835" w:rsidRPr="0010380B" w:rsidRDefault="006C4835" w:rsidP="00767B96">
            <w:pPr>
              <w:jc w:val="right"/>
              <w:rPr>
                <w:rFonts w:ascii="Times New Roman" w:hAnsi="Times New Roman"/>
              </w:rPr>
            </w:pPr>
            <w:r w:rsidRPr="0010380B">
              <w:rPr>
                <w:rFonts w:ascii="Times New Roman" w:hAnsi="Times New Roman"/>
              </w:rPr>
              <w:t>16</w:t>
            </w:r>
          </w:p>
        </w:tc>
        <w:tc>
          <w:tcPr>
            <w:tcW w:w="1701" w:type="dxa"/>
          </w:tcPr>
          <w:p w:rsidR="006C4835" w:rsidRPr="0010380B" w:rsidRDefault="006C4835" w:rsidP="00767B96">
            <w:pPr>
              <w:jc w:val="right"/>
              <w:rPr>
                <w:rFonts w:ascii="Times New Roman" w:hAnsi="Times New Roman"/>
              </w:rPr>
            </w:pPr>
            <w:r w:rsidRPr="0010380B">
              <w:rPr>
                <w:rFonts w:ascii="Times New Roman" w:hAnsi="Times New Roman"/>
              </w:rPr>
              <w:t>99</w:t>
            </w:r>
          </w:p>
        </w:tc>
      </w:tr>
      <w:tr w:rsidR="006C4835" w:rsidRPr="007868CF" w:rsidTr="00767B96">
        <w:tc>
          <w:tcPr>
            <w:tcW w:w="993" w:type="dxa"/>
            <w:vMerge/>
            <w:tcBorders>
              <w:left w:val="nil"/>
              <w:bottom w:val="nil"/>
              <w:right w:val="nil"/>
            </w:tcBorders>
            <w:shd w:val="clear" w:color="auto" w:fill="C0504D"/>
          </w:tcPr>
          <w:p w:rsidR="006C4835" w:rsidRPr="0010380B" w:rsidRDefault="006C4835" w:rsidP="00767B96">
            <w:pPr>
              <w:rPr>
                <w:rFonts w:ascii="Times New Roman" w:hAnsi="Times New Roman"/>
                <w:b/>
                <w:bCs/>
              </w:rPr>
            </w:pPr>
          </w:p>
        </w:tc>
        <w:tc>
          <w:tcPr>
            <w:tcW w:w="850" w:type="dxa"/>
            <w:shd w:val="clear" w:color="auto" w:fill="D8D8D8"/>
          </w:tcPr>
          <w:p w:rsidR="006C4835" w:rsidRPr="0010380B" w:rsidRDefault="006C4835" w:rsidP="00767B96">
            <w:pPr>
              <w:jc w:val="both"/>
              <w:rPr>
                <w:rFonts w:ascii="Times New Roman" w:hAnsi="Times New Roman"/>
              </w:rPr>
            </w:pPr>
            <w:r w:rsidRPr="0010380B">
              <w:rPr>
                <w:rFonts w:ascii="Times New Roman" w:hAnsi="Times New Roman"/>
              </w:rPr>
              <w:t>2</w:t>
            </w:r>
            <w:r w:rsidRPr="0010380B">
              <w:rPr>
                <w:rFonts w:ascii="Times New Roman" w:hAnsi="Times New Roman"/>
                <w:vertAlign w:val="superscript"/>
              </w:rPr>
              <w:t>nd</w:t>
            </w:r>
            <w:r w:rsidRPr="0010380B">
              <w:rPr>
                <w:rFonts w:ascii="Times New Roman" w:hAnsi="Times New Roman"/>
              </w:rPr>
              <w:t xml:space="preserve">   </w:t>
            </w:r>
          </w:p>
        </w:tc>
        <w:tc>
          <w:tcPr>
            <w:tcW w:w="1701" w:type="dxa"/>
            <w:shd w:val="clear" w:color="auto" w:fill="D8D8D8"/>
          </w:tcPr>
          <w:p w:rsidR="006C4835" w:rsidRPr="0010380B" w:rsidRDefault="006C4835" w:rsidP="00767B96">
            <w:pPr>
              <w:jc w:val="both"/>
              <w:rPr>
                <w:rFonts w:ascii="Times New Roman" w:hAnsi="Times New Roman"/>
              </w:rPr>
            </w:pPr>
            <w:r w:rsidRPr="0010380B">
              <w:rPr>
                <w:rFonts w:ascii="Times New Roman" w:hAnsi="Times New Roman"/>
              </w:rPr>
              <w:t xml:space="preserve">Rural </w:t>
            </w:r>
            <w:r w:rsidRPr="0010380B">
              <w:rPr>
                <w:rFonts w:ascii="Times New Roman" w:hAnsi="Times New Roman"/>
                <w:sz w:val="18"/>
              </w:rPr>
              <w:t>multigrade</w:t>
            </w:r>
          </w:p>
        </w:tc>
        <w:tc>
          <w:tcPr>
            <w:tcW w:w="1559" w:type="dxa"/>
            <w:shd w:val="clear" w:color="auto" w:fill="D8D8D8"/>
          </w:tcPr>
          <w:p w:rsidR="006C4835" w:rsidRPr="0010380B" w:rsidRDefault="006C4835" w:rsidP="00767B96">
            <w:pPr>
              <w:jc w:val="both"/>
              <w:rPr>
                <w:rFonts w:ascii="Times New Roman" w:hAnsi="Times New Roman"/>
                <w:szCs w:val="16"/>
              </w:rPr>
            </w:pPr>
            <w:r w:rsidRPr="0010380B">
              <w:rPr>
                <w:rFonts w:ascii="Times New Roman" w:hAnsi="Times New Roman"/>
                <w:szCs w:val="16"/>
              </w:rPr>
              <w:t>Multi-grade FP/ IP</w:t>
            </w:r>
          </w:p>
        </w:tc>
        <w:tc>
          <w:tcPr>
            <w:tcW w:w="709" w:type="dxa"/>
            <w:shd w:val="clear" w:color="auto" w:fill="D8D8D8"/>
          </w:tcPr>
          <w:p w:rsidR="006C4835" w:rsidRPr="0010380B" w:rsidRDefault="006C4835" w:rsidP="00767B96">
            <w:pPr>
              <w:jc w:val="center"/>
              <w:rPr>
                <w:rFonts w:ascii="Times New Roman" w:hAnsi="Times New Roman"/>
              </w:rPr>
            </w:pPr>
            <w:r w:rsidRPr="0010380B">
              <w:rPr>
                <w:rFonts w:ascii="Times New Roman" w:hAnsi="Times New Roman"/>
              </w:rPr>
              <w:t>9</w:t>
            </w:r>
          </w:p>
        </w:tc>
        <w:tc>
          <w:tcPr>
            <w:tcW w:w="1134" w:type="dxa"/>
            <w:shd w:val="clear" w:color="auto" w:fill="D8D8D8"/>
          </w:tcPr>
          <w:p w:rsidR="006C4835" w:rsidRPr="0010380B" w:rsidRDefault="006C4835" w:rsidP="00767B96">
            <w:pPr>
              <w:jc w:val="right"/>
              <w:rPr>
                <w:rFonts w:ascii="Times New Roman" w:hAnsi="Times New Roman"/>
              </w:rPr>
            </w:pPr>
            <w:r w:rsidRPr="0010380B">
              <w:rPr>
                <w:rFonts w:ascii="Times New Roman" w:hAnsi="Times New Roman"/>
              </w:rPr>
              <w:t>18</w:t>
            </w:r>
          </w:p>
        </w:tc>
        <w:tc>
          <w:tcPr>
            <w:tcW w:w="1701" w:type="dxa"/>
            <w:shd w:val="clear" w:color="auto" w:fill="D8D8D8"/>
          </w:tcPr>
          <w:p w:rsidR="006C4835" w:rsidRPr="0010380B" w:rsidRDefault="006C4835" w:rsidP="00767B96">
            <w:pPr>
              <w:jc w:val="right"/>
              <w:rPr>
                <w:rFonts w:ascii="Times New Roman" w:hAnsi="Times New Roman"/>
              </w:rPr>
            </w:pPr>
            <w:r w:rsidRPr="0010380B">
              <w:rPr>
                <w:rFonts w:ascii="Times New Roman" w:hAnsi="Times New Roman"/>
              </w:rPr>
              <w:t>120</w:t>
            </w:r>
          </w:p>
        </w:tc>
      </w:tr>
      <w:tr w:rsidR="006C4835" w:rsidRPr="007868CF" w:rsidTr="00767B96">
        <w:tc>
          <w:tcPr>
            <w:tcW w:w="993" w:type="dxa"/>
            <w:vMerge w:val="restart"/>
            <w:tcBorders>
              <w:left w:val="nil"/>
              <w:bottom w:val="nil"/>
              <w:right w:val="nil"/>
            </w:tcBorders>
            <w:shd w:val="clear" w:color="auto" w:fill="C0504D"/>
          </w:tcPr>
          <w:p w:rsidR="006C4835" w:rsidRPr="0010380B" w:rsidRDefault="006C4835" w:rsidP="00767B96">
            <w:pPr>
              <w:jc w:val="both"/>
              <w:rPr>
                <w:rFonts w:ascii="Times New Roman" w:hAnsi="Times New Roman"/>
                <w:b/>
                <w:bCs/>
              </w:rPr>
            </w:pPr>
            <w:r w:rsidRPr="0010380B">
              <w:rPr>
                <w:rFonts w:ascii="Times New Roman" w:hAnsi="Times New Roman"/>
              </w:rPr>
              <w:t>2014</w:t>
            </w:r>
          </w:p>
        </w:tc>
        <w:tc>
          <w:tcPr>
            <w:tcW w:w="850" w:type="dxa"/>
          </w:tcPr>
          <w:p w:rsidR="006C4835" w:rsidRPr="0010380B" w:rsidRDefault="006C4835" w:rsidP="00767B96">
            <w:pPr>
              <w:jc w:val="both"/>
              <w:rPr>
                <w:rFonts w:ascii="Times New Roman" w:hAnsi="Times New Roman"/>
              </w:rPr>
            </w:pPr>
            <w:r w:rsidRPr="0010380B">
              <w:rPr>
                <w:rFonts w:ascii="Times New Roman" w:hAnsi="Times New Roman"/>
              </w:rPr>
              <w:t>1</w:t>
            </w:r>
            <w:r w:rsidRPr="0010380B">
              <w:rPr>
                <w:rFonts w:ascii="Times New Roman" w:hAnsi="Times New Roman"/>
                <w:vertAlign w:val="superscript"/>
              </w:rPr>
              <w:t>st</w:t>
            </w:r>
            <w:r w:rsidRPr="0010380B">
              <w:rPr>
                <w:rFonts w:ascii="Times New Roman" w:hAnsi="Times New Roman"/>
              </w:rPr>
              <w:t xml:space="preserve"> </w:t>
            </w:r>
          </w:p>
        </w:tc>
        <w:tc>
          <w:tcPr>
            <w:tcW w:w="1701" w:type="dxa"/>
          </w:tcPr>
          <w:p w:rsidR="006C4835" w:rsidRPr="0010380B" w:rsidRDefault="006C4835" w:rsidP="00767B96">
            <w:pPr>
              <w:jc w:val="both"/>
              <w:rPr>
                <w:rFonts w:ascii="Times New Roman" w:hAnsi="Times New Roman"/>
              </w:rPr>
            </w:pPr>
            <w:r w:rsidRPr="0010380B">
              <w:rPr>
                <w:rFonts w:ascii="Times New Roman" w:hAnsi="Times New Roman"/>
              </w:rPr>
              <w:t>Urban / rural</w:t>
            </w:r>
          </w:p>
        </w:tc>
        <w:tc>
          <w:tcPr>
            <w:tcW w:w="1559" w:type="dxa"/>
          </w:tcPr>
          <w:p w:rsidR="006C4835" w:rsidRPr="0010380B" w:rsidRDefault="006C4835" w:rsidP="00767B96">
            <w:pPr>
              <w:jc w:val="both"/>
              <w:rPr>
                <w:rFonts w:ascii="Times New Roman" w:hAnsi="Times New Roman"/>
                <w:szCs w:val="16"/>
              </w:rPr>
            </w:pPr>
            <w:r w:rsidRPr="0010380B">
              <w:rPr>
                <w:rFonts w:ascii="Times New Roman" w:hAnsi="Times New Roman"/>
                <w:szCs w:val="16"/>
              </w:rPr>
              <w:t>FET (G10-12)</w:t>
            </w:r>
          </w:p>
        </w:tc>
        <w:tc>
          <w:tcPr>
            <w:tcW w:w="709" w:type="dxa"/>
          </w:tcPr>
          <w:p w:rsidR="006C4835" w:rsidRPr="0010380B" w:rsidRDefault="006C4835" w:rsidP="00767B96">
            <w:pPr>
              <w:jc w:val="center"/>
              <w:rPr>
                <w:rFonts w:ascii="Times New Roman" w:hAnsi="Times New Roman"/>
              </w:rPr>
            </w:pPr>
            <w:r w:rsidRPr="0010380B">
              <w:rPr>
                <w:rFonts w:ascii="Times New Roman" w:hAnsi="Times New Roman"/>
              </w:rPr>
              <w:t>9</w:t>
            </w:r>
          </w:p>
        </w:tc>
        <w:tc>
          <w:tcPr>
            <w:tcW w:w="1134" w:type="dxa"/>
          </w:tcPr>
          <w:p w:rsidR="006C4835" w:rsidRPr="0010380B" w:rsidRDefault="006C4835" w:rsidP="00767B96">
            <w:pPr>
              <w:jc w:val="right"/>
              <w:rPr>
                <w:rFonts w:ascii="Times New Roman" w:hAnsi="Times New Roman"/>
              </w:rPr>
            </w:pPr>
            <w:r w:rsidRPr="0010380B">
              <w:rPr>
                <w:rFonts w:ascii="Times New Roman" w:hAnsi="Times New Roman"/>
              </w:rPr>
              <w:t>12</w:t>
            </w:r>
          </w:p>
        </w:tc>
        <w:tc>
          <w:tcPr>
            <w:tcW w:w="1701" w:type="dxa"/>
          </w:tcPr>
          <w:p w:rsidR="006C4835" w:rsidRPr="0010380B" w:rsidRDefault="006C4835" w:rsidP="00767B96">
            <w:pPr>
              <w:jc w:val="right"/>
              <w:rPr>
                <w:rFonts w:ascii="Times New Roman" w:hAnsi="Times New Roman"/>
              </w:rPr>
            </w:pPr>
            <w:r w:rsidRPr="0010380B">
              <w:rPr>
                <w:rFonts w:ascii="Times New Roman" w:hAnsi="Times New Roman"/>
              </w:rPr>
              <w:t>93</w:t>
            </w:r>
          </w:p>
        </w:tc>
      </w:tr>
      <w:tr w:rsidR="006C4835" w:rsidRPr="007868CF" w:rsidTr="00767B96">
        <w:tc>
          <w:tcPr>
            <w:tcW w:w="993" w:type="dxa"/>
            <w:vMerge/>
            <w:tcBorders>
              <w:left w:val="nil"/>
              <w:bottom w:val="nil"/>
              <w:right w:val="nil"/>
            </w:tcBorders>
            <w:shd w:val="clear" w:color="auto" w:fill="C0504D"/>
          </w:tcPr>
          <w:p w:rsidR="006C4835" w:rsidRPr="0010380B" w:rsidRDefault="006C4835" w:rsidP="00767B96">
            <w:pPr>
              <w:rPr>
                <w:rFonts w:ascii="Times New Roman" w:hAnsi="Times New Roman"/>
                <w:b/>
                <w:bCs/>
              </w:rPr>
            </w:pPr>
          </w:p>
        </w:tc>
        <w:tc>
          <w:tcPr>
            <w:tcW w:w="850" w:type="dxa"/>
            <w:shd w:val="clear" w:color="auto" w:fill="D8D8D8"/>
          </w:tcPr>
          <w:p w:rsidR="006C4835" w:rsidRPr="0010380B" w:rsidRDefault="006C4835" w:rsidP="00767B96">
            <w:pPr>
              <w:jc w:val="both"/>
              <w:rPr>
                <w:rFonts w:ascii="Times New Roman" w:hAnsi="Times New Roman"/>
              </w:rPr>
            </w:pPr>
            <w:r w:rsidRPr="0010380B">
              <w:rPr>
                <w:rFonts w:ascii="Times New Roman" w:hAnsi="Times New Roman"/>
              </w:rPr>
              <w:t>2</w:t>
            </w:r>
            <w:r w:rsidRPr="0010380B">
              <w:rPr>
                <w:rFonts w:ascii="Times New Roman" w:hAnsi="Times New Roman"/>
                <w:vertAlign w:val="superscript"/>
              </w:rPr>
              <w:t>nd</w:t>
            </w:r>
            <w:r w:rsidRPr="0010380B">
              <w:rPr>
                <w:rFonts w:ascii="Times New Roman" w:hAnsi="Times New Roman"/>
              </w:rPr>
              <w:t xml:space="preserve">  </w:t>
            </w:r>
          </w:p>
        </w:tc>
        <w:tc>
          <w:tcPr>
            <w:tcW w:w="1701" w:type="dxa"/>
            <w:shd w:val="clear" w:color="auto" w:fill="D8D8D8"/>
          </w:tcPr>
          <w:p w:rsidR="006C4835" w:rsidRPr="0010380B" w:rsidRDefault="006C4835" w:rsidP="00767B96">
            <w:pPr>
              <w:jc w:val="both"/>
              <w:rPr>
                <w:rFonts w:ascii="Times New Roman" w:hAnsi="Times New Roman"/>
              </w:rPr>
            </w:pPr>
            <w:r w:rsidRPr="0010380B">
              <w:rPr>
                <w:rFonts w:ascii="Times New Roman" w:hAnsi="Times New Roman"/>
              </w:rPr>
              <w:t xml:space="preserve">Urban /  rural </w:t>
            </w:r>
          </w:p>
        </w:tc>
        <w:tc>
          <w:tcPr>
            <w:tcW w:w="1559" w:type="dxa"/>
            <w:shd w:val="clear" w:color="auto" w:fill="D8D8D8"/>
          </w:tcPr>
          <w:p w:rsidR="006C4835" w:rsidRPr="0010380B" w:rsidRDefault="006C4835" w:rsidP="00767B96">
            <w:pPr>
              <w:jc w:val="both"/>
              <w:rPr>
                <w:rFonts w:ascii="Times New Roman" w:hAnsi="Times New Roman"/>
                <w:szCs w:val="16"/>
              </w:rPr>
            </w:pPr>
            <w:r w:rsidRPr="0010380B">
              <w:rPr>
                <w:rFonts w:ascii="Times New Roman" w:hAnsi="Times New Roman"/>
                <w:szCs w:val="16"/>
              </w:rPr>
              <w:t>Senior (G7-9)</w:t>
            </w:r>
          </w:p>
        </w:tc>
        <w:tc>
          <w:tcPr>
            <w:tcW w:w="709" w:type="dxa"/>
            <w:shd w:val="clear" w:color="auto" w:fill="D8D8D8"/>
          </w:tcPr>
          <w:p w:rsidR="006C4835" w:rsidRPr="0010380B" w:rsidRDefault="006C4835" w:rsidP="00767B96">
            <w:pPr>
              <w:jc w:val="center"/>
              <w:rPr>
                <w:rFonts w:ascii="Times New Roman" w:hAnsi="Times New Roman"/>
              </w:rPr>
            </w:pPr>
            <w:r w:rsidRPr="0010380B">
              <w:rPr>
                <w:rFonts w:ascii="Times New Roman" w:hAnsi="Times New Roman"/>
              </w:rPr>
              <w:t>9</w:t>
            </w:r>
          </w:p>
        </w:tc>
        <w:tc>
          <w:tcPr>
            <w:tcW w:w="1134" w:type="dxa"/>
            <w:shd w:val="clear" w:color="auto" w:fill="D8D8D8"/>
          </w:tcPr>
          <w:p w:rsidR="006C4835" w:rsidRPr="0010380B" w:rsidRDefault="006C4835" w:rsidP="00767B96">
            <w:pPr>
              <w:jc w:val="right"/>
              <w:rPr>
                <w:rFonts w:ascii="Times New Roman" w:hAnsi="Times New Roman"/>
              </w:rPr>
            </w:pPr>
            <w:r w:rsidRPr="0010380B">
              <w:rPr>
                <w:rFonts w:ascii="Times New Roman" w:hAnsi="Times New Roman"/>
              </w:rPr>
              <w:t>13</w:t>
            </w:r>
          </w:p>
        </w:tc>
        <w:tc>
          <w:tcPr>
            <w:tcW w:w="1701" w:type="dxa"/>
            <w:shd w:val="clear" w:color="auto" w:fill="D8D8D8"/>
          </w:tcPr>
          <w:p w:rsidR="006C4835" w:rsidRPr="0010380B" w:rsidRDefault="006C4835" w:rsidP="00767B96">
            <w:pPr>
              <w:jc w:val="right"/>
              <w:rPr>
                <w:rFonts w:ascii="Times New Roman" w:hAnsi="Times New Roman"/>
              </w:rPr>
            </w:pPr>
            <w:r w:rsidRPr="0010380B">
              <w:rPr>
                <w:rFonts w:ascii="Times New Roman" w:hAnsi="Times New Roman"/>
              </w:rPr>
              <w:t>90</w:t>
            </w:r>
          </w:p>
        </w:tc>
      </w:tr>
      <w:tr w:rsidR="006C4835" w:rsidRPr="007868CF" w:rsidTr="00767B96">
        <w:tc>
          <w:tcPr>
            <w:tcW w:w="993" w:type="dxa"/>
            <w:vMerge w:val="restart"/>
            <w:tcBorders>
              <w:left w:val="nil"/>
              <w:bottom w:val="nil"/>
              <w:right w:val="nil"/>
            </w:tcBorders>
            <w:shd w:val="clear" w:color="auto" w:fill="C0504D"/>
          </w:tcPr>
          <w:p w:rsidR="006C4835" w:rsidRPr="0010380B" w:rsidRDefault="006C4835" w:rsidP="00767B96">
            <w:pPr>
              <w:rPr>
                <w:rFonts w:ascii="Times New Roman" w:hAnsi="Times New Roman"/>
                <w:b/>
                <w:bCs/>
              </w:rPr>
            </w:pPr>
            <w:r w:rsidRPr="0010380B">
              <w:rPr>
                <w:rFonts w:ascii="Times New Roman" w:hAnsi="Times New Roman"/>
              </w:rPr>
              <w:t>2015</w:t>
            </w:r>
          </w:p>
        </w:tc>
        <w:tc>
          <w:tcPr>
            <w:tcW w:w="850" w:type="dxa"/>
          </w:tcPr>
          <w:p w:rsidR="006C4835" w:rsidRPr="0010380B" w:rsidRDefault="006C4835" w:rsidP="00767B96">
            <w:pPr>
              <w:jc w:val="both"/>
              <w:rPr>
                <w:rFonts w:ascii="Times New Roman" w:hAnsi="Times New Roman"/>
              </w:rPr>
            </w:pPr>
            <w:r w:rsidRPr="0010380B">
              <w:rPr>
                <w:rFonts w:ascii="Times New Roman" w:hAnsi="Times New Roman"/>
              </w:rPr>
              <w:t>1</w:t>
            </w:r>
            <w:r w:rsidRPr="0010380B">
              <w:rPr>
                <w:rFonts w:ascii="Times New Roman" w:hAnsi="Times New Roman"/>
                <w:vertAlign w:val="superscript"/>
              </w:rPr>
              <w:t>st</w:t>
            </w:r>
            <w:r w:rsidRPr="0010380B">
              <w:rPr>
                <w:rFonts w:ascii="Times New Roman" w:hAnsi="Times New Roman"/>
              </w:rPr>
              <w:t xml:space="preserve"> </w:t>
            </w:r>
          </w:p>
        </w:tc>
        <w:tc>
          <w:tcPr>
            <w:tcW w:w="1701" w:type="dxa"/>
          </w:tcPr>
          <w:p w:rsidR="006C4835" w:rsidRPr="0010380B" w:rsidRDefault="006C4835" w:rsidP="00767B96">
            <w:pPr>
              <w:jc w:val="both"/>
              <w:rPr>
                <w:rFonts w:ascii="Times New Roman" w:hAnsi="Times New Roman"/>
              </w:rPr>
            </w:pPr>
            <w:r w:rsidRPr="0010380B">
              <w:rPr>
                <w:rFonts w:ascii="Times New Roman" w:hAnsi="Times New Roman"/>
              </w:rPr>
              <w:t xml:space="preserve">Urban and rural </w:t>
            </w:r>
          </w:p>
        </w:tc>
        <w:tc>
          <w:tcPr>
            <w:tcW w:w="1559" w:type="dxa"/>
          </w:tcPr>
          <w:p w:rsidR="006C4835" w:rsidRPr="0010380B" w:rsidRDefault="006C4835" w:rsidP="00767B96">
            <w:pPr>
              <w:jc w:val="both"/>
              <w:rPr>
                <w:rFonts w:ascii="Times New Roman" w:hAnsi="Times New Roman"/>
                <w:szCs w:val="16"/>
              </w:rPr>
            </w:pPr>
            <w:r w:rsidRPr="0010380B">
              <w:rPr>
                <w:rFonts w:ascii="Times New Roman" w:hAnsi="Times New Roman"/>
                <w:szCs w:val="16"/>
              </w:rPr>
              <w:t xml:space="preserve">Follow up </w:t>
            </w:r>
          </w:p>
        </w:tc>
        <w:tc>
          <w:tcPr>
            <w:tcW w:w="709" w:type="dxa"/>
          </w:tcPr>
          <w:p w:rsidR="006C4835" w:rsidRPr="0010380B" w:rsidRDefault="006C4835" w:rsidP="00767B96">
            <w:pPr>
              <w:jc w:val="center"/>
              <w:rPr>
                <w:rFonts w:ascii="Times New Roman" w:hAnsi="Times New Roman"/>
              </w:rPr>
            </w:pPr>
            <w:r w:rsidRPr="0010380B">
              <w:rPr>
                <w:rFonts w:ascii="Times New Roman" w:hAnsi="Times New Roman"/>
              </w:rPr>
              <w:t>9</w:t>
            </w:r>
          </w:p>
        </w:tc>
        <w:tc>
          <w:tcPr>
            <w:tcW w:w="1134" w:type="dxa"/>
          </w:tcPr>
          <w:p w:rsidR="006C4835" w:rsidRPr="0010380B" w:rsidRDefault="006C4835" w:rsidP="00767B96">
            <w:pPr>
              <w:jc w:val="right"/>
              <w:rPr>
                <w:rFonts w:ascii="Times New Roman" w:hAnsi="Times New Roman"/>
              </w:rPr>
            </w:pPr>
            <w:r w:rsidRPr="0010380B">
              <w:rPr>
                <w:rFonts w:ascii="Times New Roman" w:hAnsi="Times New Roman"/>
              </w:rPr>
              <w:t>26</w:t>
            </w:r>
          </w:p>
        </w:tc>
        <w:tc>
          <w:tcPr>
            <w:tcW w:w="1701" w:type="dxa"/>
          </w:tcPr>
          <w:p w:rsidR="006C4835" w:rsidRPr="0010380B" w:rsidRDefault="006C4835" w:rsidP="00767B96">
            <w:pPr>
              <w:jc w:val="right"/>
              <w:rPr>
                <w:rFonts w:ascii="Times New Roman" w:hAnsi="Times New Roman"/>
              </w:rPr>
            </w:pPr>
            <w:r w:rsidRPr="0010380B">
              <w:rPr>
                <w:rFonts w:ascii="Times New Roman" w:hAnsi="Times New Roman"/>
              </w:rPr>
              <w:t>158</w:t>
            </w:r>
          </w:p>
        </w:tc>
      </w:tr>
      <w:tr w:rsidR="006C4835" w:rsidRPr="007868CF" w:rsidTr="00767B96">
        <w:trPr>
          <w:trHeight w:val="339"/>
        </w:trPr>
        <w:tc>
          <w:tcPr>
            <w:tcW w:w="993" w:type="dxa"/>
            <w:vMerge/>
            <w:tcBorders>
              <w:left w:val="nil"/>
              <w:bottom w:val="nil"/>
              <w:right w:val="nil"/>
            </w:tcBorders>
            <w:shd w:val="clear" w:color="auto" w:fill="C0504D"/>
          </w:tcPr>
          <w:p w:rsidR="006C4835" w:rsidRPr="0010380B" w:rsidRDefault="006C4835" w:rsidP="00767B96">
            <w:pPr>
              <w:rPr>
                <w:rFonts w:ascii="Times New Roman" w:hAnsi="Times New Roman"/>
                <w:b/>
                <w:bCs/>
              </w:rPr>
            </w:pPr>
          </w:p>
        </w:tc>
        <w:tc>
          <w:tcPr>
            <w:tcW w:w="850" w:type="dxa"/>
            <w:shd w:val="clear" w:color="auto" w:fill="D8D8D8"/>
          </w:tcPr>
          <w:p w:rsidR="006C4835" w:rsidRPr="0010380B" w:rsidRDefault="006C4835" w:rsidP="00767B96">
            <w:pPr>
              <w:jc w:val="both"/>
              <w:rPr>
                <w:rFonts w:ascii="Times New Roman" w:hAnsi="Times New Roman"/>
              </w:rPr>
            </w:pPr>
            <w:r w:rsidRPr="0010380B">
              <w:rPr>
                <w:rFonts w:ascii="Times New Roman" w:hAnsi="Times New Roman"/>
              </w:rPr>
              <w:t>2</w:t>
            </w:r>
            <w:r w:rsidRPr="0010380B">
              <w:rPr>
                <w:rFonts w:ascii="Times New Roman" w:hAnsi="Times New Roman"/>
                <w:vertAlign w:val="superscript"/>
              </w:rPr>
              <w:t>nd</w:t>
            </w:r>
            <w:r w:rsidRPr="0010380B">
              <w:rPr>
                <w:rFonts w:ascii="Times New Roman" w:hAnsi="Times New Roman"/>
              </w:rPr>
              <w:t xml:space="preserve">   </w:t>
            </w:r>
          </w:p>
        </w:tc>
        <w:tc>
          <w:tcPr>
            <w:tcW w:w="1701" w:type="dxa"/>
            <w:shd w:val="clear" w:color="auto" w:fill="D8D8D8"/>
          </w:tcPr>
          <w:p w:rsidR="006C4835" w:rsidRPr="0010380B" w:rsidRDefault="006C4835" w:rsidP="00767B96">
            <w:pPr>
              <w:jc w:val="both"/>
              <w:rPr>
                <w:rFonts w:ascii="Times New Roman" w:hAnsi="Times New Roman"/>
              </w:rPr>
            </w:pPr>
            <w:r w:rsidRPr="0010380B">
              <w:rPr>
                <w:rFonts w:ascii="Times New Roman" w:hAnsi="Times New Roman"/>
              </w:rPr>
              <w:t xml:space="preserve">Urban and rural </w:t>
            </w:r>
          </w:p>
        </w:tc>
        <w:tc>
          <w:tcPr>
            <w:tcW w:w="1559" w:type="dxa"/>
            <w:shd w:val="clear" w:color="auto" w:fill="D8D8D8"/>
          </w:tcPr>
          <w:p w:rsidR="006C4835" w:rsidRPr="0010380B" w:rsidRDefault="006C4835" w:rsidP="00767B96">
            <w:pPr>
              <w:jc w:val="both"/>
              <w:rPr>
                <w:rFonts w:ascii="Times New Roman" w:hAnsi="Times New Roman"/>
                <w:szCs w:val="16"/>
              </w:rPr>
            </w:pPr>
            <w:r w:rsidRPr="0010380B">
              <w:rPr>
                <w:rFonts w:ascii="Times New Roman" w:hAnsi="Times New Roman"/>
                <w:szCs w:val="16"/>
              </w:rPr>
              <w:t>SNE</w:t>
            </w:r>
          </w:p>
        </w:tc>
        <w:tc>
          <w:tcPr>
            <w:tcW w:w="709" w:type="dxa"/>
            <w:shd w:val="clear" w:color="auto" w:fill="D8D8D8"/>
          </w:tcPr>
          <w:p w:rsidR="006C4835" w:rsidRPr="0010380B" w:rsidRDefault="006C4835" w:rsidP="00767B96">
            <w:pPr>
              <w:jc w:val="center"/>
              <w:rPr>
                <w:rFonts w:ascii="Times New Roman" w:hAnsi="Times New Roman"/>
              </w:rPr>
            </w:pPr>
            <w:r w:rsidRPr="0010380B">
              <w:rPr>
                <w:rFonts w:ascii="Times New Roman" w:hAnsi="Times New Roman"/>
              </w:rPr>
              <w:t>9</w:t>
            </w:r>
          </w:p>
        </w:tc>
        <w:tc>
          <w:tcPr>
            <w:tcW w:w="1134" w:type="dxa"/>
            <w:shd w:val="clear" w:color="auto" w:fill="D8D8D8"/>
          </w:tcPr>
          <w:p w:rsidR="006C4835" w:rsidRPr="0010380B" w:rsidRDefault="006C4835" w:rsidP="00767B96">
            <w:pPr>
              <w:jc w:val="right"/>
              <w:rPr>
                <w:rFonts w:ascii="Times New Roman" w:hAnsi="Times New Roman"/>
              </w:rPr>
            </w:pPr>
            <w:r w:rsidRPr="0010380B">
              <w:rPr>
                <w:rFonts w:ascii="Times New Roman" w:hAnsi="Times New Roman"/>
              </w:rPr>
              <w:t>29</w:t>
            </w:r>
          </w:p>
        </w:tc>
        <w:tc>
          <w:tcPr>
            <w:tcW w:w="1701" w:type="dxa"/>
            <w:shd w:val="clear" w:color="auto" w:fill="D8D8D8"/>
          </w:tcPr>
          <w:p w:rsidR="006C4835" w:rsidRPr="0010380B" w:rsidRDefault="006C4835" w:rsidP="00767B96">
            <w:pPr>
              <w:jc w:val="right"/>
              <w:rPr>
                <w:rFonts w:ascii="Times New Roman" w:hAnsi="Times New Roman"/>
              </w:rPr>
            </w:pPr>
            <w:r w:rsidRPr="0010380B">
              <w:rPr>
                <w:rFonts w:ascii="Times New Roman" w:hAnsi="Times New Roman"/>
              </w:rPr>
              <w:t>180</w:t>
            </w:r>
          </w:p>
        </w:tc>
      </w:tr>
      <w:tr w:rsidR="006C4835" w:rsidRPr="007868CF" w:rsidTr="00767B96">
        <w:tc>
          <w:tcPr>
            <w:tcW w:w="993" w:type="dxa"/>
            <w:tcBorders>
              <w:left w:val="nil"/>
              <w:bottom w:val="single" w:sz="18" w:space="0" w:color="auto"/>
              <w:right w:val="nil"/>
            </w:tcBorders>
            <w:shd w:val="clear" w:color="auto" w:fill="C0504D"/>
          </w:tcPr>
          <w:p w:rsidR="006C4835" w:rsidRPr="0010380B" w:rsidRDefault="006C4835" w:rsidP="00767B96">
            <w:pPr>
              <w:rPr>
                <w:rFonts w:ascii="Times New Roman" w:hAnsi="Times New Roman"/>
                <w:b/>
                <w:bCs/>
              </w:rPr>
            </w:pPr>
            <w:r w:rsidRPr="0010380B">
              <w:rPr>
                <w:rFonts w:ascii="Times New Roman" w:hAnsi="Times New Roman"/>
                <w:b/>
                <w:bCs/>
              </w:rPr>
              <w:t xml:space="preserve">2016 </w:t>
            </w:r>
          </w:p>
        </w:tc>
        <w:tc>
          <w:tcPr>
            <w:tcW w:w="850" w:type="dxa"/>
            <w:tcBorders>
              <w:bottom w:val="single" w:sz="18" w:space="0" w:color="auto"/>
            </w:tcBorders>
          </w:tcPr>
          <w:p w:rsidR="006C4835" w:rsidRPr="0010380B" w:rsidRDefault="006C4835" w:rsidP="00767B96">
            <w:pPr>
              <w:jc w:val="both"/>
              <w:rPr>
                <w:rFonts w:ascii="Times New Roman" w:hAnsi="Times New Roman"/>
              </w:rPr>
            </w:pPr>
            <w:r w:rsidRPr="0010380B">
              <w:rPr>
                <w:rFonts w:ascii="Times New Roman" w:hAnsi="Times New Roman"/>
              </w:rPr>
              <w:t>1</w:t>
            </w:r>
            <w:r w:rsidRPr="0010380B">
              <w:rPr>
                <w:rFonts w:ascii="Times New Roman" w:hAnsi="Times New Roman"/>
                <w:vertAlign w:val="superscript"/>
              </w:rPr>
              <w:t>st</w:t>
            </w:r>
            <w:r w:rsidRPr="0010380B">
              <w:rPr>
                <w:rFonts w:ascii="Times New Roman" w:hAnsi="Times New Roman"/>
              </w:rPr>
              <w:t xml:space="preserve"> </w:t>
            </w:r>
          </w:p>
        </w:tc>
        <w:tc>
          <w:tcPr>
            <w:tcW w:w="1701" w:type="dxa"/>
            <w:tcBorders>
              <w:bottom w:val="single" w:sz="18" w:space="0" w:color="auto"/>
            </w:tcBorders>
          </w:tcPr>
          <w:p w:rsidR="006C4835" w:rsidRPr="0010380B" w:rsidRDefault="006C4835" w:rsidP="00767B96">
            <w:pPr>
              <w:jc w:val="both"/>
              <w:rPr>
                <w:rFonts w:ascii="Times New Roman" w:hAnsi="Times New Roman"/>
              </w:rPr>
            </w:pPr>
            <w:r w:rsidRPr="0010380B">
              <w:rPr>
                <w:rFonts w:ascii="Times New Roman" w:hAnsi="Times New Roman"/>
              </w:rPr>
              <w:t>Urban and rural</w:t>
            </w:r>
          </w:p>
        </w:tc>
        <w:tc>
          <w:tcPr>
            <w:tcW w:w="1559" w:type="dxa"/>
            <w:tcBorders>
              <w:bottom w:val="single" w:sz="18" w:space="0" w:color="auto"/>
            </w:tcBorders>
          </w:tcPr>
          <w:p w:rsidR="006C4835" w:rsidRPr="0010380B" w:rsidRDefault="006C4835" w:rsidP="00767B96">
            <w:pPr>
              <w:jc w:val="both"/>
              <w:rPr>
                <w:rFonts w:ascii="Times New Roman" w:hAnsi="Times New Roman"/>
                <w:szCs w:val="16"/>
              </w:rPr>
            </w:pPr>
            <w:r w:rsidRPr="0010380B">
              <w:rPr>
                <w:rFonts w:ascii="Times New Roman" w:hAnsi="Times New Roman"/>
                <w:szCs w:val="16"/>
              </w:rPr>
              <w:t>SNE</w:t>
            </w:r>
          </w:p>
        </w:tc>
        <w:tc>
          <w:tcPr>
            <w:tcW w:w="709" w:type="dxa"/>
            <w:tcBorders>
              <w:bottom w:val="single" w:sz="18" w:space="0" w:color="auto"/>
            </w:tcBorders>
          </w:tcPr>
          <w:p w:rsidR="006C4835" w:rsidRPr="0010380B" w:rsidRDefault="006C4835" w:rsidP="00767B96">
            <w:pPr>
              <w:jc w:val="center"/>
              <w:rPr>
                <w:rFonts w:ascii="Times New Roman" w:hAnsi="Times New Roman"/>
              </w:rPr>
            </w:pPr>
          </w:p>
        </w:tc>
        <w:tc>
          <w:tcPr>
            <w:tcW w:w="1134" w:type="dxa"/>
            <w:tcBorders>
              <w:bottom w:val="single" w:sz="18" w:space="0" w:color="auto"/>
            </w:tcBorders>
          </w:tcPr>
          <w:p w:rsidR="006C4835" w:rsidRPr="0010380B" w:rsidRDefault="006C4835" w:rsidP="00767B96">
            <w:pPr>
              <w:jc w:val="right"/>
              <w:rPr>
                <w:rFonts w:ascii="Times New Roman" w:hAnsi="Times New Roman"/>
              </w:rPr>
            </w:pPr>
          </w:p>
        </w:tc>
        <w:tc>
          <w:tcPr>
            <w:tcW w:w="1701" w:type="dxa"/>
            <w:tcBorders>
              <w:bottom w:val="single" w:sz="18" w:space="0" w:color="auto"/>
            </w:tcBorders>
          </w:tcPr>
          <w:p w:rsidR="006C4835" w:rsidRPr="0010380B" w:rsidRDefault="006C4835" w:rsidP="00767B96">
            <w:pPr>
              <w:jc w:val="right"/>
              <w:rPr>
                <w:rFonts w:ascii="Times New Roman" w:hAnsi="Times New Roman"/>
              </w:rPr>
            </w:pPr>
          </w:p>
        </w:tc>
      </w:tr>
    </w:tbl>
    <w:p w:rsidR="006C4835" w:rsidRPr="0010380B" w:rsidRDefault="006C4835" w:rsidP="0010380B">
      <w:pPr>
        <w:spacing w:before="120"/>
        <w:jc w:val="both"/>
        <w:outlineLvl w:val="0"/>
        <w:rPr>
          <w:rFonts w:ascii="Times New Roman" w:hAnsi="Times New Roman"/>
          <w:sz w:val="24"/>
          <w:szCs w:val="24"/>
        </w:rPr>
      </w:pPr>
      <w:r w:rsidRPr="0010380B">
        <w:rPr>
          <w:rFonts w:ascii="Times New Roman" w:hAnsi="Times New Roman"/>
          <w:sz w:val="24"/>
          <w:szCs w:val="24"/>
        </w:rPr>
        <w:t>[FP = Foundation Phase; IP = Intermediate Phase; FET = Further Education and Training; SNE = Special Needs Education (incl. special and full service schools]</w:t>
      </w:r>
    </w:p>
    <w:p w:rsidR="006C4835" w:rsidRPr="00AC2B2F" w:rsidRDefault="006C4835" w:rsidP="0010380B">
      <w:pPr>
        <w:jc w:val="both"/>
        <w:outlineLvl w:val="0"/>
        <w:rPr>
          <w:rFonts w:ascii="Times New Roman" w:hAnsi="Times New Roman"/>
          <w:b/>
          <w:sz w:val="24"/>
          <w:szCs w:val="24"/>
        </w:rPr>
      </w:pPr>
      <w:r w:rsidRPr="00AC2B2F">
        <w:rPr>
          <w:rFonts w:ascii="Times New Roman" w:hAnsi="Times New Roman"/>
          <w:b/>
          <w:sz w:val="24"/>
          <w:szCs w:val="24"/>
        </w:rPr>
        <w:t>Question 4</w:t>
      </w:r>
    </w:p>
    <w:p w:rsidR="006C4835" w:rsidRPr="0085273F" w:rsidRDefault="006C4835" w:rsidP="0085273F">
      <w:pPr>
        <w:spacing w:after="240"/>
        <w:jc w:val="both"/>
        <w:outlineLvl w:val="0"/>
        <w:rPr>
          <w:rFonts w:ascii="Times New Roman" w:hAnsi="Times New Roman"/>
          <w:sz w:val="24"/>
          <w:szCs w:val="24"/>
        </w:rPr>
      </w:pPr>
      <w:r>
        <w:rPr>
          <w:rFonts w:ascii="Times New Roman" w:hAnsi="Times New Roman"/>
          <w:sz w:val="24"/>
          <w:szCs w:val="24"/>
        </w:rPr>
        <w:t>Dr Taylor, the</w:t>
      </w:r>
      <w:r w:rsidRPr="0085273F">
        <w:rPr>
          <w:rFonts w:ascii="Times New Roman" w:hAnsi="Times New Roman"/>
          <w:sz w:val="24"/>
          <w:szCs w:val="24"/>
        </w:rPr>
        <w:t xml:space="preserve"> third </w:t>
      </w:r>
      <w:r>
        <w:rPr>
          <w:rFonts w:ascii="Times New Roman" w:hAnsi="Times New Roman"/>
          <w:sz w:val="24"/>
          <w:szCs w:val="24"/>
        </w:rPr>
        <w:t>Chief Executive Officer (</w:t>
      </w:r>
      <w:r w:rsidRPr="0085273F">
        <w:rPr>
          <w:rFonts w:ascii="Times New Roman" w:hAnsi="Times New Roman"/>
          <w:sz w:val="24"/>
          <w:szCs w:val="24"/>
        </w:rPr>
        <w:t>CEO</w:t>
      </w:r>
      <w:r>
        <w:rPr>
          <w:rFonts w:ascii="Times New Roman" w:hAnsi="Times New Roman"/>
          <w:sz w:val="24"/>
          <w:szCs w:val="24"/>
        </w:rPr>
        <w:t>),</w:t>
      </w:r>
      <w:r w:rsidRPr="0085273F">
        <w:rPr>
          <w:rFonts w:ascii="Times New Roman" w:hAnsi="Times New Roman"/>
          <w:sz w:val="24"/>
          <w:szCs w:val="24"/>
        </w:rPr>
        <w:t xml:space="preserve"> left when his contract expired because of his desire to join </w:t>
      </w:r>
      <w:r>
        <w:rPr>
          <w:rFonts w:ascii="Times New Roman" w:hAnsi="Times New Roman"/>
          <w:sz w:val="24"/>
          <w:szCs w:val="24"/>
        </w:rPr>
        <w:t xml:space="preserve">his former employer, the JET Services. He </w:t>
      </w:r>
      <w:r w:rsidRPr="0085273F">
        <w:rPr>
          <w:rFonts w:ascii="Times New Roman" w:hAnsi="Times New Roman"/>
          <w:sz w:val="24"/>
          <w:szCs w:val="24"/>
        </w:rPr>
        <w:t xml:space="preserve">had not resigned from </w:t>
      </w:r>
      <w:r>
        <w:rPr>
          <w:rFonts w:ascii="Times New Roman" w:hAnsi="Times New Roman"/>
          <w:sz w:val="24"/>
          <w:szCs w:val="24"/>
        </w:rPr>
        <w:t>the JET Services</w:t>
      </w:r>
      <w:r w:rsidRPr="0085273F">
        <w:rPr>
          <w:rFonts w:ascii="Times New Roman" w:hAnsi="Times New Roman"/>
          <w:sz w:val="24"/>
          <w:szCs w:val="24"/>
        </w:rPr>
        <w:t xml:space="preserve"> but was seconded to NEEDU. </w:t>
      </w:r>
    </w:p>
    <w:p w:rsidR="006C4835" w:rsidRDefault="006C4835" w:rsidP="0085273F">
      <w:pPr>
        <w:spacing w:after="240"/>
        <w:jc w:val="both"/>
        <w:outlineLvl w:val="0"/>
        <w:rPr>
          <w:rFonts w:ascii="Times New Roman" w:hAnsi="Times New Roman"/>
          <w:sz w:val="24"/>
          <w:szCs w:val="24"/>
        </w:rPr>
      </w:pPr>
      <w:r w:rsidRPr="0085273F">
        <w:rPr>
          <w:rFonts w:ascii="Times New Roman" w:hAnsi="Times New Roman"/>
          <w:sz w:val="24"/>
          <w:szCs w:val="24"/>
        </w:rPr>
        <w:t>Dr. Sibusiso Sithole, who has been the Chief Operational Officer and Deputy CEO since 2010, is currently</w:t>
      </w:r>
      <w:r>
        <w:rPr>
          <w:rFonts w:ascii="Times New Roman" w:hAnsi="Times New Roman"/>
          <w:sz w:val="24"/>
          <w:szCs w:val="24"/>
        </w:rPr>
        <w:t xml:space="preserve"> the</w:t>
      </w:r>
      <w:r w:rsidRPr="0085273F">
        <w:rPr>
          <w:rFonts w:ascii="Times New Roman" w:hAnsi="Times New Roman"/>
          <w:sz w:val="24"/>
          <w:szCs w:val="24"/>
        </w:rPr>
        <w:t xml:space="preserve"> acting CEO. He is supported by the staff that was appointed in NEEDU since 2009</w:t>
      </w:r>
      <w:r>
        <w:rPr>
          <w:rFonts w:ascii="Times New Roman" w:hAnsi="Times New Roman"/>
          <w:sz w:val="24"/>
          <w:szCs w:val="24"/>
        </w:rPr>
        <w:t>, who</w:t>
      </w:r>
      <w:r w:rsidRPr="0085273F">
        <w:rPr>
          <w:rFonts w:ascii="Times New Roman" w:hAnsi="Times New Roman"/>
          <w:sz w:val="24"/>
          <w:szCs w:val="24"/>
        </w:rPr>
        <w:t xml:space="preserve"> played a vital role in assisting the former CEOs.</w:t>
      </w:r>
    </w:p>
    <w:p w:rsidR="006C4835" w:rsidRPr="00AC2B2F" w:rsidRDefault="006C4835" w:rsidP="0085273F">
      <w:pPr>
        <w:spacing w:after="240"/>
        <w:jc w:val="both"/>
        <w:outlineLvl w:val="0"/>
        <w:rPr>
          <w:rFonts w:ascii="Times New Roman" w:hAnsi="Times New Roman"/>
          <w:b/>
          <w:sz w:val="24"/>
          <w:szCs w:val="24"/>
        </w:rPr>
      </w:pPr>
      <w:r w:rsidRPr="00AC2B2F">
        <w:rPr>
          <w:rFonts w:ascii="Times New Roman" w:hAnsi="Times New Roman"/>
          <w:b/>
          <w:sz w:val="24"/>
          <w:szCs w:val="24"/>
        </w:rPr>
        <w:t>Question 5</w:t>
      </w:r>
    </w:p>
    <w:p w:rsidR="006C4835" w:rsidRPr="0085273F" w:rsidRDefault="006C4835" w:rsidP="0085273F">
      <w:pPr>
        <w:spacing w:after="240"/>
        <w:jc w:val="both"/>
        <w:outlineLvl w:val="0"/>
        <w:rPr>
          <w:rFonts w:ascii="Times New Roman" w:hAnsi="Times New Roman"/>
          <w:sz w:val="24"/>
          <w:szCs w:val="24"/>
        </w:rPr>
      </w:pPr>
      <w:r w:rsidRPr="0085273F">
        <w:rPr>
          <w:rFonts w:ascii="Times New Roman" w:hAnsi="Times New Roman"/>
          <w:sz w:val="24"/>
          <w:szCs w:val="24"/>
        </w:rPr>
        <w:t>The Minister supports the independence o</w:t>
      </w:r>
      <w:r>
        <w:rPr>
          <w:rFonts w:ascii="Times New Roman" w:hAnsi="Times New Roman"/>
          <w:sz w:val="24"/>
          <w:szCs w:val="24"/>
        </w:rPr>
        <w:t>f NEEDU without any reservation,</w:t>
      </w:r>
      <w:r w:rsidRPr="0085273F">
        <w:rPr>
          <w:rFonts w:ascii="Times New Roman" w:hAnsi="Times New Roman"/>
          <w:sz w:val="24"/>
          <w:szCs w:val="24"/>
        </w:rPr>
        <w:t xml:space="preserve"> </w:t>
      </w:r>
      <w:r>
        <w:rPr>
          <w:rFonts w:ascii="Times New Roman" w:hAnsi="Times New Roman"/>
          <w:sz w:val="24"/>
          <w:szCs w:val="24"/>
        </w:rPr>
        <w:t>as follows:</w:t>
      </w:r>
    </w:p>
    <w:p w:rsidR="006C4835" w:rsidRPr="0085273F" w:rsidRDefault="006C4835" w:rsidP="0085273F">
      <w:pPr>
        <w:numPr>
          <w:ilvl w:val="0"/>
          <w:numId w:val="2"/>
        </w:numPr>
        <w:spacing w:after="240"/>
        <w:ind w:left="426"/>
        <w:jc w:val="both"/>
        <w:outlineLvl w:val="0"/>
        <w:rPr>
          <w:rFonts w:ascii="Times New Roman" w:hAnsi="Times New Roman"/>
          <w:sz w:val="24"/>
          <w:szCs w:val="24"/>
        </w:rPr>
      </w:pPr>
      <w:r w:rsidRPr="0085273F">
        <w:rPr>
          <w:rFonts w:ascii="Times New Roman" w:hAnsi="Times New Roman"/>
          <w:sz w:val="24"/>
          <w:szCs w:val="24"/>
        </w:rPr>
        <w:t>On 14 April 2014, the Minister wrote to the former Minister of Public Service and Administration, Minister</w:t>
      </w:r>
      <w:r>
        <w:rPr>
          <w:rFonts w:ascii="Times New Roman" w:hAnsi="Times New Roman"/>
          <w:sz w:val="24"/>
          <w:szCs w:val="24"/>
        </w:rPr>
        <w:t xml:space="preserve"> </w:t>
      </w:r>
      <w:r w:rsidRPr="0085273F">
        <w:rPr>
          <w:rFonts w:ascii="Times New Roman" w:hAnsi="Times New Roman"/>
          <w:sz w:val="24"/>
          <w:szCs w:val="24"/>
        </w:rPr>
        <w:t>Sisulu</w:t>
      </w:r>
      <w:r>
        <w:rPr>
          <w:rFonts w:ascii="Times New Roman" w:hAnsi="Times New Roman"/>
          <w:sz w:val="24"/>
          <w:szCs w:val="24"/>
        </w:rPr>
        <w:t>, MP</w:t>
      </w:r>
      <w:r w:rsidRPr="0085273F">
        <w:rPr>
          <w:rFonts w:ascii="Times New Roman" w:hAnsi="Times New Roman"/>
          <w:sz w:val="24"/>
          <w:szCs w:val="24"/>
        </w:rPr>
        <w:t>, and the former Minister of Finance, Minister</w:t>
      </w:r>
      <w:r>
        <w:rPr>
          <w:rFonts w:ascii="Times New Roman" w:hAnsi="Times New Roman"/>
          <w:sz w:val="24"/>
          <w:szCs w:val="24"/>
        </w:rPr>
        <w:t xml:space="preserve"> </w:t>
      </w:r>
      <w:r w:rsidRPr="0085273F">
        <w:rPr>
          <w:rFonts w:ascii="Times New Roman" w:hAnsi="Times New Roman"/>
          <w:sz w:val="24"/>
          <w:szCs w:val="24"/>
        </w:rPr>
        <w:t>Gordhan</w:t>
      </w:r>
      <w:r>
        <w:rPr>
          <w:rFonts w:ascii="Times New Roman" w:hAnsi="Times New Roman"/>
          <w:sz w:val="24"/>
          <w:szCs w:val="24"/>
        </w:rPr>
        <w:t>, MP</w:t>
      </w:r>
      <w:r w:rsidRPr="0085273F">
        <w:rPr>
          <w:rFonts w:ascii="Times New Roman" w:hAnsi="Times New Roman"/>
          <w:sz w:val="24"/>
          <w:szCs w:val="24"/>
        </w:rPr>
        <w:t xml:space="preserve">, requesting their written consent on the corporate form and funding requirements of the proposed government component so that OSCBE could be legally established in keeping with the requirements of the Public Service Act, 1994 (Proclamation No. 103 of 1994 as amended by Act 20 of 2007). </w:t>
      </w:r>
    </w:p>
    <w:p w:rsidR="006C4835" w:rsidRPr="0085273F" w:rsidRDefault="006C4835" w:rsidP="0085273F">
      <w:pPr>
        <w:numPr>
          <w:ilvl w:val="0"/>
          <w:numId w:val="2"/>
        </w:numPr>
        <w:spacing w:after="240"/>
        <w:ind w:left="426"/>
        <w:jc w:val="both"/>
        <w:outlineLvl w:val="0"/>
        <w:rPr>
          <w:rFonts w:ascii="Times New Roman" w:hAnsi="Times New Roman"/>
          <w:sz w:val="24"/>
          <w:szCs w:val="24"/>
        </w:rPr>
      </w:pPr>
      <w:r w:rsidRPr="0085273F">
        <w:rPr>
          <w:rFonts w:ascii="Times New Roman" w:hAnsi="Times New Roman"/>
          <w:sz w:val="24"/>
          <w:szCs w:val="24"/>
        </w:rPr>
        <w:t>On 14 April 2014, the Minister also approved that the relevant Government Notice containing Regulations for the establishment, governance and functions of the OSCBE be published</w:t>
      </w:r>
      <w:r>
        <w:rPr>
          <w:rFonts w:ascii="Times New Roman" w:hAnsi="Times New Roman"/>
          <w:sz w:val="24"/>
          <w:szCs w:val="24"/>
        </w:rPr>
        <w:t>,</w:t>
      </w:r>
      <w:r w:rsidRPr="0085273F">
        <w:rPr>
          <w:rFonts w:ascii="Times New Roman" w:hAnsi="Times New Roman"/>
          <w:sz w:val="24"/>
          <w:szCs w:val="24"/>
        </w:rPr>
        <w:t xml:space="preserve"> once consent has been obtained from the Ministers of Finance and the Public Service and Administration.</w:t>
      </w:r>
    </w:p>
    <w:p w:rsidR="006C4835" w:rsidRPr="0085273F" w:rsidRDefault="006C4835" w:rsidP="0085273F">
      <w:pPr>
        <w:numPr>
          <w:ilvl w:val="0"/>
          <w:numId w:val="2"/>
        </w:numPr>
        <w:spacing w:after="240"/>
        <w:ind w:left="426"/>
        <w:jc w:val="both"/>
        <w:outlineLvl w:val="0"/>
        <w:rPr>
          <w:rFonts w:ascii="Times New Roman" w:hAnsi="Times New Roman"/>
          <w:sz w:val="24"/>
          <w:szCs w:val="24"/>
        </w:rPr>
      </w:pPr>
      <w:r w:rsidRPr="0085273F">
        <w:rPr>
          <w:rFonts w:ascii="Times New Roman" w:hAnsi="Times New Roman"/>
          <w:sz w:val="24"/>
          <w:szCs w:val="24"/>
        </w:rPr>
        <w:t>Ministers Sisulu and Gordhan had not responded to the Minister’s request by the time they were deployed to other portfolios after the General Elections</w:t>
      </w:r>
      <w:r>
        <w:rPr>
          <w:rFonts w:ascii="Times New Roman" w:hAnsi="Times New Roman"/>
          <w:sz w:val="24"/>
          <w:szCs w:val="24"/>
        </w:rPr>
        <w:t xml:space="preserve"> in 2014</w:t>
      </w:r>
      <w:r w:rsidRPr="0085273F">
        <w:rPr>
          <w:rFonts w:ascii="Times New Roman" w:hAnsi="Times New Roman"/>
          <w:sz w:val="24"/>
          <w:szCs w:val="24"/>
        </w:rPr>
        <w:t>. With the change of political leadership in the Departments of Public Service and Administration and Finance, on 23 July 2014, the Minister again wrote to the new Ministers of Public Service and Administration and Finance, Ministers Chabane</w:t>
      </w:r>
      <w:r>
        <w:rPr>
          <w:rFonts w:ascii="Times New Roman" w:hAnsi="Times New Roman"/>
          <w:sz w:val="24"/>
          <w:szCs w:val="24"/>
        </w:rPr>
        <w:t>,</w:t>
      </w:r>
      <w:r w:rsidRPr="0085273F">
        <w:rPr>
          <w:rFonts w:ascii="Times New Roman" w:hAnsi="Times New Roman"/>
          <w:sz w:val="24"/>
          <w:szCs w:val="24"/>
        </w:rPr>
        <w:t xml:space="preserve"> </w:t>
      </w:r>
      <w:r>
        <w:rPr>
          <w:rFonts w:ascii="Times New Roman" w:hAnsi="Times New Roman"/>
          <w:sz w:val="24"/>
          <w:szCs w:val="24"/>
        </w:rPr>
        <w:t xml:space="preserve">MP </w:t>
      </w:r>
      <w:r w:rsidRPr="0085273F">
        <w:rPr>
          <w:rFonts w:ascii="Times New Roman" w:hAnsi="Times New Roman"/>
          <w:sz w:val="24"/>
          <w:szCs w:val="24"/>
        </w:rPr>
        <w:t>and Nene</w:t>
      </w:r>
      <w:r>
        <w:rPr>
          <w:rFonts w:ascii="Times New Roman" w:hAnsi="Times New Roman"/>
          <w:sz w:val="24"/>
          <w:szCs w:val="24"/>
        </w:rPr>
        <w:t>, MP</w:t>
      </w:r>
      <w:r w:rsidRPr="0085273F">
        <w:rPr>
          <w:rFonts w:ascii="Times New Roman" w:hAnsi="Times New Roman"/>
          <w:sz w:val="24"/>
          <w:szCs w:val="24"/>
        </w:rPr>
        <w:t>, respectively requesting their support in the establishment of an independent NEEDU.</w:t>
      </w:r>
    </w:p>
    <w:p w:rsidR="006C4835" w:rsidRPr="0085273F" w:rsidRDefault="006C4835" w:rsidP="0085273F">
      <w:pPr>
        <w:numPr>
          <w:ilvl w:val="0"/>
          <w:numId w:val="2"/>
        </w:numPr>
        <w:spacing w:after="240"/>
        <w:ind w:left="426"/>
        <w:jc w:val="both"/>
        <w:outlineLvl w:val="0"/>
        <w:rPr>
          <w:rFonts w:ascii="Times New Roman" w:hAnsi="Times New Roman"/>
          <w:sz w:val="24"/>
          <w:szCs w:val="24"/>
        </w:rPr>
      </w:pPr>
      <w:r w:rsidRPr="0085273F">
        <w:rPr>
          <w:rFonts w:ascii="Times New Roman" w:hAnsi="Times New Roman"/>
          <w:sz w:val="24"/>
          <w:szCs w:val="24"/>
        </w:rPr>
        <w:t>Following the Minister’s correspondence with the Ministers of Finance and the Public Service and Administration, certain developments have transpired. These are as follows:</w:t>
      </w:r>
    </w:p>
    <w:p w:rsidR="006C4835" w:rsidRPr="0085273F" w:rsidRDefault="006C4835" w:rsidP="0085273F">
      <w:pPr>
        <w:numPr>
          <w:ilvl w:val="2"/>
          <w:numId w:val="2"/>
        </w:numPr>
        <w:spacing w:after="240"/>
        <w:ind w:left="709" w:hanging="283"/>
        <w:jc w:val="both"/>
        <w:outlineLvl w:val="0"/>
        <w:rPr>
          <w:rFonts w:ascii="Times New Roman" w:hAnsi="Times New Roman"/>
          <w:sz w:val="24"/>
          <w:szCs w:val="24"/>
        </w:rPr>
      </w:pPr>
      <w:r w:rsidRPr="0085273F">
        <w:rPr>
          <w:rFonts w:ascii="Times New Roman" w:hAnsi="Times New Roman"/>
          <w:sz w:val="24"/>
          <w:szCs w:val="24"/>
        </w:rPr>
        <w:t xml:space="preserve">Consultations with the </w:t>
      </w:r>
      <w:r>
        <w:rPr>
          <w:rFonts w:ascii="Times New Roman" w:hAnsi="Times New Roman"/>
          <w:sz w:val="24"/>
          <w:szCs w:val="24"/>
        </w:rPr>
        <w:t xml:space="preserve">National </w:t>
      </w:r>
      <w:r w:rsidRPr="0085273F">
        <w:rPr>
          <w:rFonts w:ascii="Times New Roman" w:hAnsi="Times New Roman"/>
          <w:sz w:val="24"/>
          <w:szCs w:val="24"/>
        </w:rPr>
        <w:t>Treasury and the Department of Public Service and Administration (DPSA) to establish NEEDU as an independent government component, under the title of Office of Standards and Complia</w:t>
      </w:r>
      <w:r>
        <w:rPr>
          <w:rFonts w:ascii="Times New Roman" w:hAnsi="Times New Roman"/>
          <w:sz w:val="24"/>
          <w:szCs w:val="24"/>
        </w:rPr>
        <w:t>nce for Basic Education (OSCBE);</w:t>
      </w:r>
      <w:r w:rsidRPr="0085273F">
        <w:rPr>
          <w:rFonts w:ascii="Times New Roman" w:hAnsi="Times New Roman"/>
          <w:sz w:val="24"/>
          <w:szCs w:val="24"/>
        </w:rPr>
        <w:t xml:space="preserve"> </w:t>
      </w:r>
    </w:p>
    <w:p w:rsidR="006C4835" w:rsidRPr="0085273F" w:rsidRDefault="006C4835" w:rsidP="0085273F">
      <w:pPr>
        <w:numPr>
          <w:ilvl w:val="2"/>
          <w:numId w:val="2"/>
        </w:numPr>
        <w:spacing w:after="240"/>
        <w:ind w:left="709" w:hanging="283"/>
        <w:jc w:val="both"/>
        <w:outlineLvl w:val="0"/>
        <w:rPr>
          <w:rFonts w:ascii="Times New Roman" w:hAnsi="Times New Roman"/>
          <w:sz w:val="24"/>
          <w:szCs w:val="24"/>
        </w:rPr>
      </w:pPr>
      <w:r w:rsidRPr="0085273F">
        <w:rPr>
          <w:rFonts w:ascii="Times New Roman" w:hAnsi="Times New Roman"/>
          <w:sz w:val="24"/>
          <w:szCs w:val="24"/>
        </w:rPr>
        <w:t xml:space="preserve">The formulation of the relevant documents with the support of </w:t>
      </w:r>
      <w:r>
        <w:rPr>
          <w:rFonts w:ascii="Times New Roman" w:hAnsi="Times New Roman"/>
          <w:sz w:val="24"/>
          <w:szCs w:val="24"/>
        </w:rPr>
        <w:t xml:space="preserve">the </w:t>
      </w:r>
      <w:r w:rsidRPr="0085273F">
        <w:rPr>
          <w:rFonts w:ascii="Times New Roman" w:hAnsi="Times New Roman"/>
          <w:sz w:val="24"/>
          <w:szCs w:val="24"/>
        </w:rPr>
        <w:t xml:space="preserve">DPSA and the preparation of </w:t>
      </w:r>
      <w:r>
        <w:rPr>
          <w:rFonts w:ascii="Times New Roman" w:hAnsi="Times New Roman"/>
          <w:sz w:val="24"/>
          <w:szCs w:val="24"/>
        </w:rPr>
        <w:t xml:space="preserve">a </w:t>
      </w:r>
      <w:r w:rsidRPr="0085273F">
        <w:rPr>
          <w:rFonts w:ascii="Times New Roman" w:hAnsi="Times New Roman"/>
          <w:sz w:val="24"/>
          <w:szCs w:val="24"/>
        </w:rPr>
        <w:t>business case with the s</w:t>
      </w:r>
      <w:r>
        <w:rPr>
          <w:rFonts w:ascii="Times New Roman" w:hAnsi="Times New Roman"/>
          <w:sz w:val="24"/>
          <w:szCs w:val="24"/>
        </w:rPr>
        <w:t>upport of the National Treasury;</w:t>
      </w:r>
    </w:p>
    <w:p w:rsidR="006C4835" w:rsidRPr="0085273F" w:rsidRDefault="006C4835" w:rsidP="0085273F">
      <w:pPr>
        <w:numPr>
          <w:ilvl w:val="2"/>
          <w:numId w:val="2"/>
        </w:numPr>
        <w:spacing w:after="240"/>
        <w:ind w:left="709" w:hanging="283"/>
        <w:jc w:val="both"/>
        <w:outlineLvl w:val="0"/>
        <w:rPr>
          <w:rFonts w:ascii="Times New Roman" w:hAnsi="Times New Roman"/>
          <w:sz w:val="24"/>
          <w:szCs w:val="24"/>
        </w:rPr>
      </w:pPr>
      <w:r w:rsidRPr="0085273F">
        <w:rPr>
          <w:rFonts w:ascii="Times New Roman" w:hAnsi="Times New Roman"/>
          <w:sz w:val="24"/>
          <w:szCs w:val="24"/>
        </w:rPr>
        <w:t>The preparation of the Regulations for the establishment of</w:t>
      </w:r>
      <w:r>
        <w:rPr>
          <w:rFonts w:ascii="Times New Roman" w:hAnsi="Times New Roman"/>
          <w:sz w:val="24"/>
          <w:szCs w:val="24"/>
        </w:rPr>
        <w:t xml:space="preserve"> the</w:t>
      </w:r>
      <w:r w:rsidRPr="0085273F">
        <w:rPr>
          <w:rFonts w:ascii="Times New Roman" w:hAnsi="Times New Roman"/>
          <w:sz w:val="24"/>
          <w:szCs w:val="24"/>
        </w:rPr>
        <w:t xml:space="preserve"> OSCBE for considerati</w:t>
      </w:r>
      <w:r>
        <w:rPr>
          <w:rFonts w:ascii="Times New Roman" w:hAnsi="Times New Roman"/>
          <w:sz w:val="24"/>
          <w:szCs w:val="24"/>
        </w:rPr>
        <w:t>on and approval by the Minister;</w:t>
      </w:r>
      <w:r w:rsidRPr="0085273F">
        <w:rPr>
          <w:rFonts w:ascii="Times New Roman" w:hAnsi="Times New Roman"/>
          <w:sz w:val="24"/>
          <w:szCs w:val="24"/>
        </w:rPr>
        <w:t xml:space="preserve"> </w:t>
      </w:r>
    </w:p>
    <w:p w:rsidR="006C4835" w:rsidRPr="0085273F" w:rsidRDefault="006C4835" w:rsidP="0085273F">
      <w:pPr>
        <w:numPr>
          <w:ilvl w:val="2"/>
          <w:numId w:val="2"/>
        </w:numPr>
        <w:spacing w:after="240"/>
        <w:ind w:left="709" w:hanging="283"/>
        <w:jc w:val="both"/>
        <w:outlineLvl w:val="0"/>
        <w:rPr>
          <w:rFonts w:ascii="Times New Roman" w:hAnsi="Times New Roman"/>
          <w:sz w:val="24"/>
          <w:szCs w:val="24"/>
        </w:rPr>
      </w:pPr>
      <w:r w:rsidRPr="0085273F">
        <w:rPr>
          <w:rFonts w:ascii="Times New Roman" w:hAnsi="Times New Roman"/>
          <w:sz w:val="24"/>
          <w:szCs w:val="24"/>
        </w:rPr>
        <w:t xml:space="preserve">The approval of the Regulations for the establishment of </w:t>
      </w:r>
      <w:r>
        <w:rPr>
          <w:rFonts w:ascii="Times New Roman" w:hAnsi="Times New Roman"/>
          <w:sz w:val="24"/>
          <w:szCs w:val="24"/>
        </w:rPr>
        <w:t xml:space="preserve">the </w:t>
      </w:r>
      <w:r w:rsidRPr="0085273F">
        <w:rPr>
          <w:rFonts w:ascii="Times New Roman" w:hAnsi="Times New Roman"/>
          <w:sz w:val="24"/>
          <w:szCs w:val="24"/>
        </w:rPr>
        <w:t>OSCBE after close examination and scrutiny by the Chief State Law Advisor, who finally declared that “the draft Regulations are consistent with section 11 of the National Education Policy Act, 1996 (A</w:t>
      </w:r>
      <w:r>
        <w:rPr>
          <w:rFonts w:ascii="Times New Roman" w:hAnsi="Times New Roman"/>
          <w:sz w:val="24"/>
          <w:szCs w:val="24"/>
        </w:rPr>
        <w:t>ct No. 27 of 1996)” in May 2015; and</w:t>
      </w:r>
    </w:p>
    <w:p w:rsidR="006C4835" w:rsidRPr="0085273F" w:rsidRDefault="006C4835" w:rsidP="0085273F">
      <w:pPr>
        <w:numPr>
          <w:ilvl w:val="2"/>
          <w:numId w:val="2"/>
        </w:numPr>
        <w:spacing w:after="240"/>
        <w:ind w:left="709" w:hanging="283"/>
        <w:jc w:val="both"/>
        <w:outlineLvl w:val="0"/>
        <w:rPr>
          <w:rFonts w:ascii="Times New Roman" w:hAnsi="Times New Roman"/>
          <w:sz w:val="24"/>
          <w:szCs w:val="24"/>
        </w:rPr>
      </w:pPr>
      <w:r w:rsidRPr="0085273F">
        <w:rPr>
          <w:rFonts w:ascii="Times New Roman" w:hAnsi="Times New Roman"/>
          <w:sz w:val="24"/>
          <w:szCs w:val="24"/>
        </w:rPr>
        <w:t xml:space="preserve">The approval of the Regulations for the establishment of </w:t>
      </w:r>
      <w:r>
        <w:rPr>
          <w:rFonts w:ascii="Times New Roman" w:hAnsi="Times New Roman"/>
          <w:sz w:val="24"/>
          <w:szCs w:val="24"/>
        </w:rPr>
        <w:t xml:space="preserve">the </w:t>
      </w:r>
      <w:r w:rsidRPr="0085273F">
        <w:rPr>
          <w:rFonts w:ascii="Times New Roman" w:hAnsi="Times New Roman"/>
          <w:sz w:val="24"/>
          <w:szCs w:val="24"/>
        </w:rPr>
        <w:t>OSCBE by the Minister in May 2015</w:t>
      </w:r>
      <w:r>
        <w:rPr>
          <w:rFonts w:ascii="Times New Roman" w:hAnsi="Times New Roman"/>
          <w:sz w:val="24"/>
          <w:szCs w:val="24"/>
        </w:rPr>
        <w:t>,</w:t>
      </w:r>
      <w:r w:rsidRPr="0085273F">
        <w:rPr>
          <w:rFonts w:ascii="Times New Roman" w:hAnsi="Times New Roman"/>
          <w:sz w:val="24"/>
          <w:szCs w:val="24"/>
        </w:rPr>
        <w:t xml:space="preserve"> after they were endorsed by the Chief State Law Advisor.</w:t>
      </w:r>
    </w:p>
    <w:p w:rsidR="006C4835" w:rsidRPr="0085273F" w:rsidRDefault="006C4835" w:rsidP="0085273F">
      <w:pPr>
        <w:numPr>
          <w:ilvl w:val="0"/>
          <w:numId w:val="2"/>
        </w:numPr>
        <w:spacing w:after="240"/>
        <w:ind w:left="426"/>
        <w:jc w:val="both"/>
        <w:outlineLvl w:val="0"/>
        <w:rPr>
          <w:rFonts w:ascii="Times New Roman" w:hAnsi="Times New Roman"/>
          <w:sz w:val="24"/>
          <w:szCs w:val="24"/>
        </w:rPr>
      </w:pPr>
      <w:r w:rsidRPr="0085273F">
        <w:rPr>
          <w:rFonts w:ascii="Times New Roman" w:hAnsi="Times New Roman"/>
          <w:sz w:val="24"/>
          <w:szCs w:val="24"/>
        </w:rPr>
        <w:t>What remains to be done includes the following activities:</w:t>
      </w:r>
    </w:p>
    <w:p w:rsidR="006C4835" w:rsidRPr="0085273F" w:rsidRDefault="006C4835" w:rsidP="0085273F">
      <w:pPr>
        <w:numPr>
          <w:ilvl w:val="2"/>
          <w:numId w:val="2"/>
        </w:numPr>
        <w:spacing w:after="240"/>
        <w:ind w:left="709" w:hanging="283"/>
        <w:jc w:val="both"/>
        <w:outlineLvl w:val="0"/>
        <w:rPr>
          <w:rFonts w:ascii="Times New Roman" w:hAnsi="Times New Roman"/>
          <w:sz w:val="24"/>
          <w:szCs w:val="24"/>
        </w:rPr>
      </w:pPr>
      <w:r w:rsidRPr="0085273F">
        <w:rPr>
          <w:rFonts w:ascii="Times New Roman" w:hAnsi="Times New Roman"/>
          <w:sz w:val="24"/>
          <w:szCs w:val="24"/>
        </w:rPr>
        <w:t xml:space="preserve">Approving the Regulations for the establishment of the OSCBE </w:t>
      </w:r>
      <w:r>
        <w:rPr>
          <w:rFonts w:ascii="Times New Roman" w:hAnsi="Times New Roman"/>
          <w:sz w:val="24"/>
          <w:szCs w:val="24"/>
        </w:rPr>
        <w:t>[</w:t>
      </w:r>
      <w:r w:rsidRPr="00AC2B2F">
        <w:rPr>
          <w:rFonts w:ascii="Times New Roman" w:hAnsi="Times New Roman"/>
          <w:sz w:val="24"/>
          <w:szCs w:val="24"/>
        </w:rPr>
        <w:t>by the CEM</w:t>
      </w:r>
      <w:r>
        <w:rPr>
          <w:rFonts w:ascii="Times New Roman" w:hAnsi="Times New Roman"/>
          <w:sz w:val="24"/>
          <w:szCs w:val="24"/>
        </w:rPr>
        <w:t>];</w:t>
      </w:r>
      <w:r w:rsidRPr="0085273F">
        <w:rPr>
          <w:rFonts w:ascii="Times New Roman" w:hAnsi="Times New Roman"/>
          <w:sz w:val="24"/>
          <w:szCs w:val="24"/>
        </w:rPr>
        <w:t xml:space="preserve"> </w:t>
      </w:r>
    </w:p>
    <w:p w:rsidR="006C4835" w:rsidRPr="00AC2B2F" w:rsidRDefault="006C4835" w:rsidP="0085273F">
      <w:pPr>
        <w:numPr>
          <w:ilvl w:val="2"/>
          <w:numId w:val="2"/>
        </w:numPr>
        <w:spacing w:after="240"/>
        <w:ind w:left="709" w:hanging="283"/>
        <w:jc w:val="both"/>
        <w:outlineLvl w:val="0"/>
        <w:rPr>
          <w:rFonts w:ascii="Times New Roman" w:hAnsi="Times New Roman"/>
          <w:sz w:val="24"/>
          <w:szCs w:val="24"/>
        </w:rPr>
      </w:pPr>
      <w:r w:rsidRPr="0085273F">
        <w:rPr>
          <w:rFonts w:ascii="Times New Roman" w:hAnsi="Times New Roman"/>
          <w:sz w:val="24"/>
          <w:szCs w:val="24"/>
        </w:rPr>
        <w:t xml:space="preserve">Declaring the establishment of </w:t>
      </w:r>
      <w:r>
        <w:rPr>
          <w:rFonts w:ascii="Times New Roman" w:hAnsi="Times New Roman"/>
          <w:sz w:val="24"/>
          <w:szCs w:val="24"/>
        </w:rPr>
        <w:t xml:space="preserve">the </w:t>
      </w:r>
      <w:r w:rsidRPr="0085273F">
        <w:rPr>
          <w:rFonts w:ascii="Times New Roman" w:hAnsi="Times New Roman"/>
          <w:sz w:val="24"/>
          <w:szCs w:val="24"/>
        </w:rPr>
        <w:t>OSCBE through the promulgation of the Regulations (via the Government Notice</w:t>
      </w:r>
      <w:r w:rsidRPr="00AC2B2F">
        <w:rPr>
          <w:rFonts w:ascii="Times New Roman" w:hAnsi="Times New Roman"/>
          <w:sz w:val="24"/>
          <w:szCs w:val="24"/>
        </w:rPr>
        <w:t xml:space="preserve">) </w:t>
      </w:r>
      <w:r>
        <w:rPr>
          <w:rFonts w:ascii="Times New Roman" w:hAnsi="Times New Roman"/>
          <w:sz w:val="24"/>
          <w:szCs w:val="24"/>
        </w:rPr>
        <w:t>[</w:t>
      </w:r>
      <w:r w:rsidRPr="00AC2B2F">
        <w:rPr>
          <w:rFonts w:ascii="Times New Roman" w:hAnsi="Times New Roman"/>
          <w:sz w:val="24"/>
          <w:szCs w:val="24"/>
        </w:rPr>
        <w:t>by the Minister</w:t>
      </w:r>
      <w:r>
        <w:rPr>
          <w:rFonts w:ascii="Times New Roman" w:hAnsi="Times New Roman"/>
          <w:sz w:val="24"/>
          <w:szCs w:val="24"/>
        </w:rPr>
        <w:t>];</w:t>
      </w:r>
    </w:p>
    <w:p w:rsidR="006C4835" w:rsidRPr="00AC2B2F" w:rsidRDefault="006C4835" w:rsidP="0085273F">
      <w:pPr>
        <w:numPr>
          <w:ilvl w:val="2"/>
          <w:numId w:val="2"/>
        </w:numPr>
        <w:spacing w:after="240"/>
        <w:ind w:left="709" w:hanging="283"/>
        <w:jc w:val="both"/>
        <w:outlineLvl w:val="0"/>
        <w:rPr>
          <w:rFonts w:ascii="Times New Roman" w:hAnsi="Times New Roman"/>
          <w:sz w:val="24"/>
          <w:szCs w:val="24"/>
        </w:rPr>
      </w:pPr>
      <w:r w:rsidRPr="0085273F">
        <w:rPr>
          <w:rFonts w:ascii="Times New Roman" w:hAnsi="Times New Roman"/>
          <w:sz w:val="24"/>
          <w:szCs w:val="24"/>
        </w:rPr>
        <w:t xml:space="preserve">Submitting the updated business case and promulgated Regulations and Government Notice to the DPSA </w:t>
      </w:r>
      <w:r w:rsidRPr="00AC2B2F">
        <w:rPr>
          <w:rFonts w:ascii="Times New Roman" w:hAnsi="Times New Roman"/>
          <w:sz w:val="24"/>
          <w:szCs w:val="24"/>
        </w:rPr>
        <w:t>[by NEEDU</w:t>
      </w:r>
      <w:r>
        <w:rPr>
          <w:rFonts w:ascii="Times New Roman" w:hAnsi="Times New Roman"/>
          <w:sz w:val="24"/>
          <w:szCs w:val="24"/>
        </w:rPr>
        <w:t>];</w:t>
      </w:r>
    </w:p>
    <w:p w:rsidR="006C4835" w:rsidRPr="00AC2B2F" w:rsidRDefault="006C4835" w:rsidP="0085273F">
      <w:pPr>
        <w:numPr>
          <w:ilvl w:val="2"/>
          <w:numId w:val="2"/>
        </w:numPr>
        <w:spacing w:after="240"/>
        <w:ind w:left="709" w:hanging="283"/>
        <w:jc w:val="both"/>
        <w:outlineLvl w:val="0"/>
        <w:rPr>
          <w:rFonts w:ascii="Times New Roman" w:hAnsi="Times New Roman"/>
          <w:sz w:val="24"/>
          <w:szCs w:val="24"/>
        </w:rPr>
      </w:pPr>
      <w:r w:rsidRPr="0085273F">
        <w:rPr>
          <w:rFonts w:ascii="Times New Roman" w:hAnsi="Times New Roman"/>
          <w:sz w:val="24"/>
          <w:szCs w:val="24"/>
        </w:rPr>
        <w:t>Arranging a meeting of the Interdepartmental Assessment Committee to make recommendations on the organi</w:t>
      </w:r>
      <w:r>
        <w:rPr>
          <w:rFonts w:ascii="Times New Roman" w:hAnsi="Times New Roman"/>
          <w:sz w:val="24"/>
          <w:szCs w:val="24"/>
        </w:rPr>
        <w:t>s</w:t>
      </w:r>
      <w:r w:rsidRPr="0085273F">
        <w:rPr>
          <w:rFonts w:ascii="Times New Roman" w:hAnsi="Times New Roman"/>
          <w:sz w:val="24"/>
          <w:szCs w:val="24"/>
        </w:rPr>
        <w:t xml:space="preserve">ational form for the OSCBE—with </w:t>
      </w:r>
      <w:r>
        <w:rPr>
          <w:rFonts w:ascii="Times New Roman" w:hAnsi="Times New Roman"/>
          <w:sz w:val="24"/>
          <w:szCs w:val="24"/>
        </w:rPr>
        <w:t>the Department of Basic Education (</w:t>
      </w:r>
      <w:r w:rsidRPr="0085273F">
        <w:rPr>
          <w:rFonts w:ascii="Times New Roman" w:hAnsi="Times New Roman"/>
          <w:sz w:val="24"/>
          <w:szCs w:val="24"/>
        </w:rPr>
        <w:t>DBE</w:t>
      </w:r>
      <w:r>
        <w:rPr>
          <w:rFonts w:ascii="Times New Roman" w:hAnsi="Times New Roman"/>
          <w:sz w:val="24"/>
          <w:szCs w:val="24"/>
        </w:rPr>
        <w:t>)</w:t>
      </w:r>
      <w:r w:rsidRPr="0085273F">
        <w:rPr>
          <w:rFonts w:ascii="Times New Roman" w:hAnsi="Times New Roman"/>
          <w:sz w:val="24"/>
          <w:szCs w:val="24"/>
        </w:rPr>
        <w:t xml:space="preserve"> (NEEDU) participating as a member in the Committee and making a presentation to the members </w:t>
      </w:r>
      <w:r w:rsidRPr="00AC2B2F">
        <w:rPr>
          <w:rFonts w:ascii="Times New Roman" w:hAnsi="Times New Roman"/>
          <w:sz w:val="24"/>
          <w:szCs w:val="24"/>
        </w:rPr>
        <w:t>[by DPSA]</w:t>
      </w:r>
      <w:r>
        <w:rPr>
          <w:rFonts w:ascii="Times New Roman" w:hAnsi="Times New Roman"/>
          <w:sz w:val="24"/>
          <w:szCs w:val="24"/>
        </w:rPr>
        <w:t>;</w:t>
      </w:r>
    </w:p>
    <w:p w:rsidR="006C4835" w:rsidRDefault="006C4835" w:rsidP="0085273F">
      <w:pPr>
        <w:numPr>
          <w:ilvl w:val="2"/>
          <w:numId w:val="2"/>
        </w:numPr>
        <w:spacing w:after="240"/>
        <w:ind w:left="709" w:hanging="283"/>
        <w:jc w:val="both"/>
        <w:outlineLvl w:val="0"/>
        <w:rPr>
          <w:rFonts w:ascii="Times New Roman" w:hAnsi="Times New Roman"/>
          <w:sz w:val="24"/>
          <w:szCs w:val="24"/>
        </w:rPr>
      </w:pPr>
      <w:r w:rsidRPr="0085273F">
        <w:rPr>
          <w:rFonts w:ascii="Times New Roman" w:hAnsi="Times New Roman"/>
          <w:sz w:val="24"/>
          <w:szCs w:val="24"/>
        </w:rPr>
        <w:t xml:space="preserve">Preparing a submission to inform the Minister for Public Service and Administration and the Minister of Finance of the Committee's recommendation and </w:t>
      </w:r>
      <w:r>
        <w:rPr>
          <w:rFonts w:ascii="Times New Roman" w:hAnsi="Times New Roman"/>
          <w:sz w:val="24"/>
          <w:szCs w:val="24"/>
        </w:rPr>
        <w:t xml:space="preserve">to </w:t>
      </w:r>
      <w:r w:rsidRPr="0085273F">
        <w:rPr>
          <w:rFonts w:ascii="Times New Roman" w:hAnsi="Times New Roman"/>
          <w:sz w:val="24"/>
          <w:szCs w:val="24"/>
        </w:rPr>
        <w:t>obtain the concurrence of the said Ministers for the establishment of the OS</w:t>
      </w:r>
      <w:r>
        <w:rPr>
          <w:rFonts w:ascii="Times New Roman" w:hAnsi="Times New Roman"/>
          <w:sz w:val="24"/>
          <w:szCs w:val="24"/>
        </w:rPr>
        <w:t>C</w:t>
      </w:r>
      <w:r w:rsidRPr="0085273F">
        <w:rPr>
          <w:rFonts w:ascii="Times New Roman" w:hAnsi="Times New Roman"/>
          <w:sz w:val="24"/>
          <w:szCs w:val="24"/>
        </w:rPr>
        <w:t xml:space="preserve">BE as a government component </w:t>
      </w:r>
      <w:r w:rsidRPr="00AC2B2F">
        <w:rPr>
          <w:rFonts w:ascii="Times New Roman" w:hAnsi="Times New Roman"/>
          <w:sz w:val="24"/>
          <w:szCs w:val="24"/>
        </w:rPr>
        <w:t>[by DPSA]</w:t>
      </w:r>
      <w:r>
        <w:rPr>
          <w:rFonts w:ascii="Times New Roman" w:hAnsi="Times New Roman"/>
          <w:sz w:val="24"/>
          <w:szCs w:val="24"/>
        </w:rPr>
        <w:t>; and</w:t>
      </w:r>
    </w:p>
    <w:p w:rsidR="006C4835" w:rsidRPr="00AC2B2F" w:rsidRDefault="006C4835" w:rsidP="0085273F">
      <w:pPr>
        <w:numPr>
          <w:ilvl w:val="2"/>
          <w:numId w:val="2"/>
        </w:numPr>
        <w:spacing w:after="240"/>
        <w:ind w:left="709" w:hanging="283"/>
        <w:jc w:val="both"/>
        <w:outlineLvl w:val="0"/>
        <w:rPr>
          <w:rFonts w:ascii="Times New Roman" w:hAnsi="Times New Roman"/>
          <w:sz w:val="24"/>
          <w:szCs w:val="24"/>
        </w:rPr>
      </w:pPr>
      <w:r w:rsidRPr="00AC2B2F">
        <w:rPr>
          <w:rFonts w:ascii="Times New Roman" w:hAnsi="Times New Roman"/>
          <w:sz w:val="24"/>
          <w:szCs w:val="24"/>
        </w:rPr>
        <w:t xml:space="preserve">Preparing (following concurrence from said Ministers) a </w:t>
      </w:r>
      <w:r>
        <w:rPr>
          <w:rFonts w:ascii="Times New Roman" w:hAnsi="Times New Roman"/>
          <w:sz w:val="24"/>
          <w:szCs w:val="24"/>
        </w:rPr>
        <w:t>P</w:t>
      </w:r>
      <w:r w:rsidRPr="00AC2B2F">
        <w:rPr>
          <w:rFonts w:ascii="Times New Roman" w:hAnsi="Times New Roman"/>
          <w:sz w:val="24"/>
          <w:szCs w:val="24"/>
        </w:rPr>
        <w:t xml:space="preserve">residential </w:t>
      </w:r>
      <w:r>
        <w:rPr>
          <w:rFonts w:ascii="Times New Roman" w:hAnsi="Times New Roman"/>
          <w:sz w:val="24"/>
          <w:szCs w:val="24"/>
        </w:rPr>
        <w:t>P</w:t>
      </w:r>
      <w:r w:rsidRPr="00AC2B2F">
        <w:rPr>
          <w:rFonts w:ascii="Times New Roman" w:hAnsi="Times New Roman"/>
          <w:sz w:val="24"/>
          <w:szCs w:val="24"/>
        </w:rPr>
        <w:t xml:space="preserve">roclamation to list the OSCBE in </w:t>
      </w:r>
      <w:r>
        <w:rPr>
          <w:rFonts w:ascii="Times New Roman" w:hAnsi="Times New Roman"/>
          <w:sz w:val="24"/>
          <w:szCs w:val="24"/>
        </w:rPr>
        <w:t>S</w:t>
      </w:r>
      <w:r w:rsidRPr="00AC2B2F">
        <w:rPr>
          <w:rFonts w:ascii="Times New Roman" w:hAnsi="Times New Roman"/>
          <w:sz w:val="24"/>
          <w:szCs w:val="24"/>
        </w:rPr>
        <w:t>chedule 3 of the Public Service Act</w:t>
      </w:r>
      <w:r>
        <w:rPr>
          <w:rFonts w:ascii="Times New Roman" w:hAnsi="Times New Roman"/>
          <w:sz w:val="24"/>
          <w:szCs w:val="24"/>
        </w:rPr>
        <w:t>,</w:t>
      </w:r>
      <w:r w:rsidRPr="00AC2B2F">
        <w:rPr>
          <w:rFonts w:ascii="Times New Roman" w:hAnsi="Times New Roman"/>
          <w:sz w:val="24"/>
          <w:szCs w:val="24"/>
        </w:rPr>
        <w:t xml:space="preserve"> so as to establish the OSCBE as a government component [by DPSA].             NW3582E</w:t>
      </w:r>
    </w:p>
    <w:p w:rsidR="006C4835" w:rsidRDefault="006C4835" w:rsidP="0085273F">
      <w:pPr>
        <w:spacing w:after="240"/>
        <w:jc w:val="both"/>
        <w:outlineLvl w:val="0"/>
        <w:rPr>
          <w:rFonts w:ascii="Times New Roman" w:hAnsi="Times New Roman"/>
          <w:sz w:val="24"/>
          <w:szCs w:val="24"/>
        </w:rPr>
      </w:pPr>
    </w:p>
    <w:p w:rsidR="006C4835" w:rsidRDefault="006C4835" w:rsidP="0085273F">
      <w:pPr>
        <w:spacing w:after="240"/>
        <w:jc w:val="both"/>
        <w:outlineLvl w:val="0"/>
        <w:rPr>
          <w:rFonts w:ascii="Times New Roman" w:hAnsi="Times New Roman"/>
          <w:sz w:val="24"/>
          <w:szCs w:val="24"/>
        </w:rPr>
      </w:pPr>
    </w:p>
    <w:p w:rsidR="006C4835" w:rsidRDefault="006C4835" w:rsidP="0085273F">
      <w:pPr>
        <w:spacing w:after="240"/>
        <w:jc w:val="both"/>
        <w:outlineLvl w:val="0"/>
        <w:rPr>
          <w:rFonts w:ascii="Times New Roman" w:hAnsi="Times New Roman"/>
          <w:sz w:val="24"/>
          <w:szCs w:val="24"/>
        </w:rPr>
      </w:pPr>
    </w:p>
    <w:p w:rsidR="006C4835" w:rsidRDefault="006C4835" w:rsidP="0085273F">
      <w:pPr>
        <w:spacing w:after="240"/>
        <w:jc w:val="both"/>
        <w:outlineLvl w:val="0"/>
        <w:rPr>
          <w:rFonts w:ascii="Times New Roman" w:hAnsi="Times New Roman"/>
          <w:sz w:val="24"/>
          <w:szCs w:val="24"/>
        </w:rPr>
      </w:pPr>
    </w:p>
    <w:p w:rsidR="006C4835" w:rsidRDefault="006C4835" w:rsidP="0085273F">
      <w:pPr>
        <w:spacing w:after="240"/>
        <w:jc w:val="both"/>
        <w:outlineLvl w:val="0"/>
        <w:rPr>
          <w:rFonts w:ascii="Times New Roman" w:hAnsi="Times New Roman"/>
          <w:sz w:val="24"/>
          <w:szCs w:val="24"/>
        </w:rPr>
      </w:pPr>
    </w:p>
    <w:p w:rsidR="006C4835" w:rsidRDefault="006C4835" w:rsidP="0085273F">
      <w:pPr>
        <w:spacing w:after="240"/>
        <w:jc w:val="both"/>
        <w:outlineLvl w:val="0"/>
        <w:rPr>
          <w:rFonts w:ascii="Times New Roman" w:hAnsi="Times New Roman"/>
          <w:sz w:val="24"/>
          <w:szCs w:val="24"/>
        </w:rPr>
      </w:pPr>
    </w:p>
    <w:p w:rsidR="006C4835" w:rsidRDefault="006C4835" w:rsidP="0085273F">
      <w:pPr>
        <w:spacing w:after="240"/>
        <w:jc w:val="both"/>
        <w:outlineLvl w:val="0"/>
        <w:rPr>
          <w:rFonts w:ascii="Times New Roman" w:hAnsi="Times New Roman"/>
          <w:sz w:val="24"/>
          <w:szCs w:val="24"/>
        </w:rPr>
      </w:pPr>
    </w:p>
    <w:p w:rsidR="006C4835" w:rsidRDefault="006C4835" w:rsidP="0085273F">
      <w:pPr>
        <w:spacing w:after="240"/>
        <w:jc w:val="both"/>
        <w:outlineLvl w:val="0"/>
        <w:rPr>
          <w:rFonts w:ascii="Times New Roman" w:hAnsi="Times New Roman"/>
          <w:sz w:val="24"/>
          <w:szCs w:val="24"/>
        </w:rPr>
      </w:pPr>
    </w:p>
    <w:p w:rsidR="006C4835" w:rsidRDefault="006C4835" w:rsidP="0085273F">
      <w:pPr>
        <w:spacing w:after="240"/>
        <w:jc w:val="both"/>
        <w:outlineLvl w:val="0"/>
        <w:rPr>
          <w:rFonts w:ascii="Times New Roman" w:hAnsi="Times New Roman"/>
          <w:sz w:val="24"/>
          <w:szCs w:val="24"/>
        </w:rPr>
      </w:pPr>
    </w:p>
    <w:p w:rsidR="006C4835" w:rsidRDefault="006C4835" w:rsidP="0085273F">
      <w:pPr>
        <w:spacing w:after="240"/>
        <w:jc w:val="both"/>
        <w:outlineLvl w:val="0"/>
        <w:rPr>
          <w:rFonts w:ascii="Times New Roman" w:hAnsi="Times New Roman"/>
          <w:sz w:val="24"/>
          <w:szCs w:val="24"/>
        </w:rPr>
      </w:pPr>
    </w:p>
    <w:p w:rsidR="006C4835" w:rsidRDefault="006C4835" w:rsidP="0085273F">
      <w:pPr>
        <w:pStyle w:val="NoSpacing"/>
        <w:rPr>
          <w:rFonts w:ascii="Arial" w:hAnsi="Arial" w:cs="Arial"/>
          <w:sz w:val="24"/>
          <w:szCs w:val="24"/>
        </w:rPr>
      </w:pPr>
    </w:p>
    <w:p w:rsidR="006C4835" w:rsidRDefault="006C4835" w:rsidP="0085273F">
      <w:pPr>
        <w:pStyle w:val="NoSpacing"/>
        <w:rPr>
          <w:rFonts w:ascii="Arial" w:hAnsi="Arial" w:cs="Arial"/>
          <w:sz w:val="24"/>
          <w:szCs w:val="24"/>
        </w:rPr>
      </w:pPr>
    </w:p>
    <w:p w:rsidR="006C4835" w:rsidRDefault="006C4835" w:rsidP="0085273F">
      <w:pPr>
        <w:pStyle w:val="NoSpacing"/>
        <w:rPr>
          <w:rFonts w:ascii="Arial" w:hAnsi="Arial" w:cs="Arial"/>
          <w:sz w:val="24"/>
          <w:szCs w:val="24"/>
        </w:rPr>
      </w:pPr>
    </w:p>
    <w:p w:rsidR="006C4835" w:rsidRPr="00DE2635" w:rsidRDefault="006C4835" w:rsidP="00DE2635">
      <w:pPr>
        <w:pStyle w:val="NoSpacing"/>
        <w:rPr>
          <w:rFonts w:ascii="Arial" w:hAnsi="Arial" w:cs="Arial"/>
          <w:sz w:val="24"/>
          <w:szCs w:val="24"/>
        </w:rPr>
      </w:pPr>
    </w:p>
    <w:sectPr w:rsidR="006C4835" w:rsidRPr="00DE2635" w:rsidSect="0006769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338F"/>
    <w:multiLevelType w:val="hybridMultilevel"/>
    <w:tmpl w:val="451CA33C"/>
    <w:lvl w:ilvl="0" w:tplc="1C090001">
      <w:start w:val="1"/>
      <w:numFmt w:val="bullet"/>
      <w:lvlText w:val=""/>
      <w:lvlJc w:val="left"/>
      <w:pPr>
        <w:ind w:left="2520" w:hanging="360"/>
      </w:pPr>
      <w:rPr>
        <w:rFonts w:ascii="Symbol" w:hAnsi="Symbol" w:hint="default"/>
      </w:rPr>
    </w:lvl>
    <w:lvl w:ilvl="1" w:tplc="1C090003" w:tentative="1">
      <w:start w:val="1"/>
      <w:numFmt w:val="bullet"/>
      <w:lvlText w:val="o"/>
      <w:lvlJc w:val="left"/>
      <w:pPr>
        <w:ind w:left="3240" w:hanging="360"/>
      </w:pPr>
      <w:rPr>
        <w:rFonts w:ascii="Courier New" w:hAnsi="Courier New" w:hint="default"/>
      </w:rPr>
    </w:lvl>
    <w:lvl w:ilvl="2" w:tplc="1C090005" w:tentative="1">
      <w:start w:val="1"/>
      <w:numFmt w:val="bullet"/>
      <w:lvlText w:val=""/>
      <w:lvlJc w:val="left"/>
      <w:pPr>
        <w:ind w:left="3960" w:hanging="360"/>
      </w:pPr>
      <w:rPr>
        <w:rFonts w:ascii="Wingdings" w:hAnsi="Wingdings" w:hint="default"/>
      </w:rPr>
    </w:lvl>
    <w:lvl w:ilvl="3" w:tplc="1C090001" w:tentative="1">
      <w:start w:val="1"/>
      <w:numFmt w:val="bullet"/>
      <w:lvlText w:val=""/>
      <w:lvlJc w:val="left"/>
      <w:pPr>
        <w:ind w:left="4680" w:hanging="360"/>
      </w:pPr>
      <w:rPr>
        <w:rFonts w:ascii="Symbol" w:hAnsi="Symbol" w:hint="default"/>
      </w:rPr>
    </w:lvl>
    <w:lvl w:ilvl="4" w:tplc="1C090003" w:tentative="1">
      <w:start w:val="1"/>
      <w:numFmt w:val="bullet"/>
      <w:lvlText w:val="o"/>
      <w:lvlJc w:val="left"/>
      <w:pPr>
        <w:ind w:left="5400" w:hanging="360"/>
      </w:pPr>
      <w:rPr>
        <w:rFonts w:ascii="Courier New" w:hAnsi="Courier New" w:hint="default"/>
      </w:rPr>
    </w:lvl>
    <w:lvl w:ilvl="5" w:tplc="1C090005" w:tentative="1">
      <w:start w:val="1"/>
      <w:numFmt w:val="bullet"/>
      <w:lvlText w:val=""/>
      <w:lvlJc w:val="left"/>
      <w:pPr>
        <w:ind w:left="6120" w:hanging="360"/>
      </w:pPr>
      <w:rPr>
        <w:rFonts w:ascii="Wingdings" w:hAnsi="Wingdings" w:hint="default"/>
      </w:rPr>
    </w:lvl>
    <w:lvl w:ilvl="6" w:tplc="1C090001" w:tentative="1">
      <w:start w:val="1"/>
      <w:numFmt w:val="bullet"/>
      <w:lvlText w:val=""/>
      <w:lvlJc w:val="left"/>
      <w:pPr>
        <w:ind w:left="6840" w:hanging="360"/>
      </w:pPr>
      <w:rPr>
        <w:rFonts w:ascii="Symbol" w:hAnsi="Symbol" w:hint="default"/>
      </w:rPr>
    </w:lvl>
    <w:lvl w:ilvl="7" w:tplc="1C090003" w:tentative="1">
      <w:start w:val="1"/>
      <w:numFmt w:val="bullet"/>
      <w:lvlText w:val="o"/>
      <w:lvlJc w:val="left"/>
      <w:pPr>
        <w:ind w:left="7560" w:hanging="360"/>
      </w:pPr>
      <w:rPr>
        <w:rFonts w:ascii="Courier New" w:hAnsi="Courier New" w:hint="default"/>
      </w:rPr>
    </w:lvl>
    <w:lvl w:ilvl="8" w:tplc="1C090005" w:tentative="1">
      <w:start w:val="1"/>
      <w:numFmt w:val="bullet"/>
      <w:lvlText w:val=""/>
      <w:lvlJc w:val="left"/>
      <w:pPr>
        <w:ind w:left="8280" w:hanging="360"/>
      </w:pPr>
      <w:rPr>
        <w:rFonts w:ascii="Wingdings" w:hAnsi="Wingdings" w:hint="default"/>
      </w:rPr>
    </w:lvl>
  </w:abstractNum>
  <w:abstractNum w:abstractNumId="1">
    <w:nsid w:val="635E510C"/>
    <w:multiLevelType w:val="hybridMultilevel"/>
    <w:tmpl w:val="9D6A7E0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hint="default"/>
      </w:rPr>
    </w:lvl>
    <w:lvl w:ilvl="2" w:tplc="1C090003">
      <w:start w:val="1"/>
      <w:numFmt w:val="bullet"/>
      <w:lvlText w:val="o"/>
      <w:lvlJc w:val="left"/>
      <w:pPr>
        <w:ind w:left="2160" w:hanging="360"/>
      </w:pPr>
      <w:rPr>
        <w:rFonts w:ascii="Courier New" w:hAnsi="Courier New"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051718"/>
    <w:rsid w:val="00055EDD"/>
    <w:rsid w:val="0006769B"/>
    <w:rsid w:val="00097E31"/>
    <w:rsid w:val="0010380B"/>
    <w:rsid w:val="00183BCF"/>
    <w:rsid w:val="0022227C"/>
    <w:rsid w:val="00267DE9"/>
    <w:rsid w:val="0027063B"/>
    <w:rsid w:val="002C09B0"/>
    <w:rsid w:val="002C32A6"/>
    <w:rsid w:val="0037043F"/>
    <w:rsid w:val="003B39A7"/>
    <w:rsid w:val="003C6306"/>
    <w:rsid w:val="003E50DF"/>
    <w:rsid w:val="003F0CB2"/>
    <w:rsid w:val="00405587"/>
    <w:rsid w:val="00415808"/>
    <w:rsid w:val="004532C0"/>
    <w:rsid w:val="004A2F02"/>
    <w:rsid w:val="00570560"/>
    <w:rsid w:val="005827AF"/>
    <w:rsid w:val="0060313B"/>
    <w:rsid w:val="00655F9E"/>
    <w:rsid w:val="006C4835"/>
    <w:rsid w:val="006D7B63"/>
    <w:rsid w:val="006E1474"/>
    <w:rsid w:val="006F297B"/>
    <w:rsid w:val="00760EF9"/>
    <w:rsid w:val="00767B96"/>
    <w:rsid w:val="007868CF"/>
    <w:rsid w:val="007A4190"/>
    <w:rsid w:val="007D48A7"/>
    <w:rsid w:val="007F25CB"/>
    <w:rsid w:val="00801044"/>
    <w:rsid w:val="00830D56"/>
    <w:rsid w:val="0085273F"/>
    <w:rsid w:val="00857A1D"/>
    <w:rsid w:val="008B3E48"/>
    <w:rsid w:val="008B4CAE"/>
    <w:rsid w:val="008E742B"/>
    <w:rsid w:val="009B6115"/>
    <w:rsid w:val="009D302C"/>
    <w:rsid w:val="00A341A2"/>
    <w:rsid w:val="00A34C46"/>
    <w:rsid w:val="00A666AB"/>
    <w:rsid w:val="00AB0816"/>
    <w:rsid w:val="00AC2B2F"/>
    <w:rsid w:val="00B2251D"/>
    <w:rsid w:val="00B51400"/>
    <w:rsid w:val="00B6783D"/>
    <w:rsid w:val="00BA100B"/>
    <w:rsid w:val="00BC2629"/>
    <w:rsid w:val="00C06F39"/>
    <w:rsid w:val="00C95366"/>
    <w:rsid w:val="00CC4CFB"/>
    <w:rsid w:val="00CC77F2"/>
    <w:rsid w:val="00CE2BFD"/>
    <w:rsid w:val="00D34C31"/>
    <w:rsid w:val="00D7473E"/>
    <w:rsid w:val="00D94B1F"/>
    <w:rsid w:val="00DE2635"/>
    <w:rsid w:val="00E14C0C"/>
    <w:rsid w:val="00E67F6F"/>
    <w:rsid w:val="00E92CFB"/>
    <w:rsid w:val="00EC0B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EF9"/>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5273F"/>
    <w:rPr>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1039</Words>
  <Characters>5928</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cp:lastPrinted>2015-09-01T09:59:00Z</cp:lastPrinted>
  <dcterms:created xsi:type="dcterms:W3CDTF">2015-09-08T10:55:00Z</dcterms:created>
  <dcterms:modified xsi:type="dcterms:W3CDTF">2015-09-08T10:55:00Z</dcterms:modified>
</cp:coreProperties>
</file>