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8F18" w14:textId="77777777" w:rsidR="00C02D0F" w:rsidRPr="00DF4704" w:rsidRDefault="00C02D0F" w:rsidP="0006249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14E54F15" w14:textId="77777777" w:rsidR="00C02D0F" w:rsidRDefault="00C02D0F" w:rsidP="0006249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3034</w:t>
      </w:r>
    </w:p>
    <w:p w14:paraId="3C17976C" w14:textId="46AF72C8" w:rsidR="00C02D0F" w:rsidRPr="006043D8" w:rsidRDefault="00C02D0F" w:rsidP="00062495">
      <w:pPr>
        <w:spacing w:before="100" w:beforeAutospacing="1" w:after="100" w:afterAutospacing="1" w:line="360" w:lineRule="auto"/>
        <w:jc w:val="both"/>
        <w:outlineLvl w:val="0"/>
        <w:rPr>
          <w:rFonts w:ascii="Arial" w:hAnsi="Arial" w:cs="Arial"/>
          <w:b/>
        </w:rPr>
      </w:pPr>
      <w:r w:rsidRPr="006043D8">
        <w:rPr>
          <w:rFonts w:ascii="Arial" w:hAnsi="Arial" w:cs="Arial"/>
          <w:b/>
          <w:lang w:val="en"/>
        </w:rPr>
        <w:t>Adv A de W Alberts (FF Plus) to ask the Minister of Transport</w:t>
      </w:r>
      <w:r>
        <w:rPr>
          <w:rFonts w:ascii="Arial" w:hAnsi="Arial" w:cs="Arial"/>
          <w:b/>
        </w:rPr>
        <w:t>:</w:t>
      </w:r>
    </w:p>
    <w:p w14:paraId="7018D173" w14:textId="77777777" w:rsidR="00C02D0F" w:rsidRPr="006043D8" w:rsidRDefault="00C02D0F" w:rsidP="00062495">
      <w:pPr>
        <w:spacing w:before="100" w:beforeAutospacing="1" w:after="100" w:afterAutospacing="1" w:line="360" w:lineRule="auto"/>
        <w:ind w:left="1440" w:hanging="720"/>
        <w:jc w:val="both"/>
        <w:rPr>
          <w:rFonts w:ascii="Arial" w:hAnsi="Arial" w:cs="Arial"/>
          <w:lang w:val="en-ZA"/>
        </w:rPr>
      </w:pPr>
      <w:r w:rsidRPr="006043D8">
        <w:rPr>
          <w:rFonts w:ascii="Arial" w:hAnsi="Arial" w:cs="Arial"/>
          <w:lang w:val="en-ZA"/>
        </w:rPr>
        <w:t>(1)</w:t>
      </w:r>
      <w:r w:rsidRPr="006043D8">
        <w:rPr>
          <w:rFonts w:ascii="Arial" w:hAnsi="Arial" w:cs="Arial"/>
          <w:lang w:val="en-ZA"/>
        </w:rPr>
        <w:tab/>
        <w:t xml:space="preserve">Whether, with reference to his reply to question 2055 on 29 June 2018, it has been made public in the meantime that the municipal councils of </w:t>
      </w:r>
      <w:proofErr w:type="spellStart"/>
      <w:r w:rsidRPr="006043D8">
        <w:rPr>
          <w:rFonts w:ascii="Arial" w:hAnsi="Arial" w:cs="Arial"/>
          <w:lang w:val="en-ZA"/>
        </w:rPr>
        <w:t>Ventersdorp</w:t>
      </w:r>
      <w:proofErr w:type="spellEnd"/>
      <w:r w:rsidRPr="006043D8">
        <w:rPr>
          <w:rFonts w:ascii="Arial" w:hAnsi="Arial" w:cs="Arial"/>
          <w:lang w:val="en-ZA"/>
        </w:rPr>
        <w:t xml:space="preserve">, </w:t>
      </w:r>
      <w:proofErr w:type="spellStart"/>
      <w:r w:rsidRPr="006043D8">
        <w:rPr>
          <w:rFonts w:ascii="Arial" w:hAnsi="Arial" w:cs="Arial"/>
          <w:lang w:val="en-ZA"/>
        </w:rPr>
        <w:t>Ethekwini</w:t>
      </w:r>
      <w:proofErr w:type="spellEnd"/>
      <w:r w:rsidRPr="006043D8">
        <w:rPr>
          <w:rFonts w:ascii="Arial" w:hAnsi="Arial" w:cs="Arial"/>
          <w:lang w:val="en-ZA"/>
        </w:rPr>
        <w:t xml:space="preserve">, </w:t>
      </w:r>
      <w:proofErr w:type="spellStart"/>
      <w:r w:rsidRPr="006043D8">
        <w:rPr>
          <w:rFonts w:ascii="Arial" w:hAnsi="Arial" w:cs="Arial"/>
          <w:lang w:val="en-ZA"/>
        </w:rPr>
        <w:t>Tlokwe</w:t>
      </w:r>
      <w:proofErr w:type="spellEnd"/>
      <w:r w:rsidRPr="006043D8">
        <w:rPr>
          <w:rFonts w:ascii="Arial" w:hAnsi="Arial" w:cs="Arial"/>
          <w:lang w:val="en-ZA"/>
        </w:rPr>
        <w:t xml:space="preserve">, </w:t>
      </w:r>
      <w:proofErr w:type="spellStart"/>
      <w:r w:rsidRPr="006043D8">
        <w:rPr>
          <w:rFonts w:ascii="Arial" w:hAnsi="Arial" w:cs="Arial"/>
          <w:lang w:val="en-ZA"/>
        </w:rPr>
        <w:t>Midvaal</w:t>
      </w:r>
      <w:proofErr w:type="spellEnd"/>
      <w:r w:rsidRPr="006043D8">
        <w:rPr>
          <w:rFonts w:ascii="Arial" w:hAnsi="Arial" w:cs="Arial"/>
          <w:lang w:val="en-ZA"/>
        </w:rPr>
        <w:t xml:space="preserve"> and all jurisdictions where Total Client Services Ltd (TLC) operates as service provider on behalf of the municipal authority, have ignored the appointment of an agent (a proxy) and issue fines and summons directly to the owners of motor vehicles, causing perplexing consequences;</w:t>
      </w:r>
    </w:p>
    <w:p w14:paraId="03282EC1" w14:textId="77777777" w:rsidR="00C02D0F" w:rsidRPr="006043D8" w:rsidRDefault="00C02D0F" w:rsidP="00062495">
      <w:pPr>
        <w:spacing w:before="100" w:beforeAutospacing="1" w:after="100" w:afterAutospacing="1" w:line="360" w:lineRule="auto"/>
        <w:ind w:left="1440" w:hanging="720"/>
        <w:jc w:val="both"/>
        <w:rPr>
          <w:rFonts w:ascii="Arial" w:hAnsi="Arial" w:cs="Arial"/>
          <w:lang w:val="en-ZA"/>
        </w:rPr>
      </w:pPr>
      <w:r w:rsidRPr="006043D8">
        <w:rPr>
          <w:rFonts w:ascii="Arial" w:hAnsi="Arial" w:cs="Arial"/>
          <w:lang w:val="en-ZA"/>
        </w:rPr>
        <w:t>(2)</w:t>
      </w:r>
      <w:r w:rsidRPr="006043D8">
        <w:rPr>
          <w:rFonts w:ascii="Arial" w:hAnsi="Arial" w:cs="Arial"/>
          <w:lang w:val="en-ZA"/>
        </w:rPr>
        <w:tab/>
        <w:t>whether he is taking steps against the authorities and the service provider on the strength of evidence that, in this regard, the National Road Traffic Act, Act 93 of 1996, is violated by them in the manner specified; if not, why not; if so, what are the relevant details;</w:t>
      </w:r>
    </w:p>
    <w:p w14:paraId="51C360A0" w14:textId="77777777" w:rsidR="00062495" w:rsidRDefault="00C02D0F" w:rsidP="00062495">
      <w:pPr>
        <w:spacing w:before="100" w:beforeAutospacing="1" w:after="100" w:afterAutospacing="1" w:line="360" w:lineRule="auto"/>
        <w:ind w:left="1440" w:hanging="720"/>
        <w:jc w:val="both"/>
        <w:rPr>
          <w:rFonts w:ascii="Arial" w:hAnsi="Arial" w:cs="Arial"/>
        </w:rPr>
      </w:pPr>
      <w:r w:rsidRPr="006043D8">
        <w:rPr>
          <w:rFonts w:ascii="Arial" w:hAnsi="Arial" w:cs="Arial"/>
          <w:lang w:val="en-ZA"/>
        </w:rPr>
        <w:t>(3)</w:t>
      </w:r>
      <w:r w:rsidRPr="006043D8">
        <w:rPr>
          <w:rFonts w:ascii="Arial" w:hAnsi="Arial" w:cs="Arial"/>
          <w:lang w:val="en-ZA"/>
        </w:rPr>
        <w:tab/>
        <w:t>whether the regulation that stipulates that a motor vehicle license has to be renewed within 21 days after it expires is still applicable and whether it has been amended in any way; if not, (a) whether any amendment is envisaged in future and (b) what are the full reasons for this; if so, what (</w:t>
      </w:r>
      <w:proofErr w:type="spellStart"/>
      <w:r w:rsidRPr="006043D8">
        <w:rPr>
          <w:rFonts w:ascii="Arial" w:hAnsi="Arial" w:cs="Arial"/>
          <w:lang w:val="en-ZA"/>
        </w:rPr>
        <w:t>i</w:t>
      </w:r>
      <w:proofErr w:type="spellEnd"/>
      <w:r w:rsidRPr="006043D8">
        <w:rPr>
          <w:rFonts w:ascii="Arial" w:hAnsi="Arial" w:cs="Arial"/>
          <w:lang w:val="en-ZA"/>
        </w:rPr>
        <w:t>) is the new regulation and (ii) are the full reasons for the amendment?</w:t>
      </w:r>
      <w:r w:rsidRPr="006043D8">
        <w:rPr>
          <w:rFonts w:ascii="Arial" w:hAnsi="Arial" w:cs="Arial"/>
          <w:lang w:val="en-ZA"/>
        </w:rPr>
        <w:tab/>
      </w:r>
      <w:r w:rsidRPr="006043D8">
        <w:rPr>
          <w:rFonts w:ascii="Arial" w:hAnsi="Arial" w:cs="Arial"/>
        </w:rPr>
        <w:tab/>
      </w:r>
      <w:r w:rsidRPr="006043D8">
        <w:rPr>
          <w:rFonts w:ascii="Arial" w:hAnsi="Arial" w:cs="Arial"/>
        </w:rPr>
        <w:tab/>
      </w:r>
    </w:p>
    <w:p w14:paraId="37964CE6" w14:textId="60CA73A5" w:rsidR="00C02D0F" w:rsidRPr="00062495" w:rsidRDefault="00C02D0F" w:rsidP="00062495">
      <w:pPr>
        <w:spacing w:before="100" w:beforeAutospacing="1" w:after="100" w:afterAutospacing="1" w:line="360" w:lineRule="auto"/>
        <w:ind w:left="7920" w:firstLine="720"/>
        <w:jc w:val="both"/>
        <w:rPr>
          <w:rFonts w:ascii="Arial" w:hAnsi="Arial" w:cs="Arial"/>
          <w:b/>
        </w:rPr>
      </w:pPr>
      <w:r w:rsidRPr="00062495">
        <w:rPr>
          <w:rFonts w:ascii="Arial" w:hAnsi="Arial" w:cs="Arial"/>
          <w:b/>
        </w:rPr>
        <w:t>NW3349E</w:t>
      </w:r>
    </w:p>
    <w:p w14:paraId="1C10E289" w14:textId="77777777" w:rsidR="00C02D0F" w:rsidRDefault="00C02D0F" w:rsidP="00062495">
      <w:pPr>
        <w:spacing w:before="100" w:beforeAutospacing="1" w:after="100" w:afterAutospacing="1" w:line="360" w:lineRule="auto"/>
        <w:jc w:val="both"/>
        <w:outlineLvl w:val="0"/>
        <w:rPr>
          <w:rFonts w:ascii="Arial" w:eastAsia="Calibri" w:hAnsi="Arial" w:cs="Arial"/>
          <w:b/>
          <w:lang w:val="en-ZA"/>
        </w:rPr>
      </w:pPr>
    </w:p>
    <w:p w14:paraId="034E0054" w14:textId="6EFFF8A8" w:rsidR="00C02D0F" w:rsidRDefault="00C02D0F" w:rsidP="0006249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sidR="00062495">
        <w:rPr>
          <w:rFonts w:ascii="Arial" w:eastAsia="Calibri" w:hAnsi="Arial" w:cs="Arial"/>
          <w:b/>
          <w:lang w:val="en-ZA"/>
        </w:rPr>
        <w:t>EPLY:</w:t>
      </w:r>
    </w:p>
    <w:p w14:paraId="626F559A" w14:textId="77777777" w:rsidR="00C02D0F" w:rsidRDefault="00C02D0F" w:rsidP="00062495">
      <w:pPr>
        <w:spacing w:before="100" w:beforeAutospacing="1" w:after="100" w:afterAutospacing="1" w:line="360" w:lineRule="auto"/>
        <w:ind w:left="1440" w:hanging="720"/>
        <w:jc w:val="both"/>
        <w:rPr>
          <w:rFonts w:ascii="Arial" w:hAnsi="Arial" w:cs="Arial"/>
          <w:lang w:val="en-GB"/>
        </w:rPr>
      </w:pPr>
      <w:r>
        <w:rPr>
          <w:rFonts w:ascii="Arial" w:hAnsi="Arial" w:cs="Arial"/>
          <w:lang w:val="en-ZA"/>
        </w:rPr>
        <w:t>(1)</w:t>
      </w:r>
      <w:r>
        <w:rPr>
          <w:rFonts w:ascii="Arial" w:hAnsi="Arial" w:cs="Arial"/>
          <w:lang w:val="en-ZA"/>
        </w:rPr>
        <w:tab/>
        <w:t xml:space="preserve">The issuance of road traffic related fines directly to the owner of the motor vehicle is not in line with the provisions of </w:t>
      </w:r>
      <w:r w:rsidRPr="00511048">
        <w:rPr>
          <w:rFonts w:ascii="Arial" w:hAnsi="Arial" w:cs="Arial"/>
          <w:lang w:val="en-GB"/>
        </w:rPr>
        <w:t>section 341</w:t>
      </w:r>
      <w:r>
        <w:rPr>
          <w:rFonts w:ascii="Arial" w:hAnsi="Arial" w:cs="Arial"/>
          <w:lang w:val="en-GB"/>
        </w:rPr>
        <w:t xml:space="preserve"> of CPA read with the regulation 336 of the National Road Traffic Regulations, 2000. In most instances the relevant prosecutors withdraw the charges as the notice was not properly issued. The Department will engage with the Road Traffic Management Corporation to advise the authorities to issue fines in accordance with the prescripts of legislation.</w:t>
      </w:r>
    </w:p>
    <w:p w14:paraId="6433F2E6" w14:textId="77777777" w:rsidR="00C02D0F" w:rsidRDefault="00C02D0F" w:rsidP="00062495">
      <w:pPr>
        <w:spacing w:before="100" w:beforeAutospacing="1" w:after="100" w:afterAutospacing="1" w:line="360" w:lineRule="auto"/>
        <w:ind w:left="1440" w:hanging="720"/>
        <w:jc w:val="both"/>
        <w:rPr>
          <w:rFonts w:ascii="Arial" w:hAnsi="Arial" w:cs="Arial"/>
          <w:lang w:val="en-ZA"/>
        </w:rPr>
      </w:pPr>
      <w:r w:rsidRPr="006043D8">
        <w:rPr>
          <w:rFonts w:ascii="Arial" w:hAnsi="Arial" w:cs="Arial"/>
          <w:lang w:val="en-ZA"/>
        </w:rPr>
        <w:t>(2)</w:t>
      </w:r>
      <w:r w:rsidRPr="006043D8">
        <w:rPr>
          <w:rFonts w:ascii="Arial" w:hAnsi="Arial" w:cs="Arial"/>
          <w:lang w:val="en-ZA"/>
        </w:rPr>
        <w:tab/>
      </w:r>
      <w:r>
        <w:rPr>
          <w:rFonts w:ascii="Arial" w:hAnsi="Arial" w:cs="Arial"/>
          <w:lang w:val="en-ZA"/>
        </w:rPr>
        <w:t>The matter has not been brought to the attention of the Department, however we will be engaging with the Road Traffic Management Corporation to ensure that such practice is discontinued.</w:t>
      </w:r>
    </w:p>
    <w:p w14:paraId="37FA5F5C" w14:textId="77777777" w:rsidR="00C02D0F" w:rsidRDefault="00C02D0F" w:rsidP="00062495">
      <w:pPr>
        <w:spacing w:before="100" w:beforeAutospacing="1" w:after="100" w:afterAutospacing="1" w:line="360" w:lineRule="auto"/>
        <w:ind w:left="1440" w:hanging="720"/>
        <w:jc w:val="both"/>
        <w:rPr>
          <w:rFonts w:ascii="Arial" w:hAnsi="Arial" w:cs="Arial"/>
          <w:lang w:val="en-ZA"/>
        </w:rPr>
      </w:pPr>
      <w:r>
        <w:rPr>
          <w:rFonts w:ascii="Arial" w:hAnsi="Arial" w:cs="Arial"/>
          <w:lang w:val="en-ZA"/>
        </w:rPr>
        <w:lastRenderedPageBreak/>
        <w:t xml:space="preserve"> </w:t>
      </w:r>
      <w:r w:rsidRPr="006043D8">
        <w:rPr>
          <w:rFonts w:ascii="Arial" w:hAnsi="Arial" w:cs="Arial"/>
          <w:lang w:val="en-ZA"/>
        </w:rPr>
        <w:t>(3)</w:t>
      </w:r>
      <w:r w:rsidRPr="006043D8">
        <w:rPr>
          <w:rFonts w:ascii="Arial" w:hAnsi="Arial" w:cs="Arial"/>
          <w:lang w:val="en-ZA"/>
        </w:rPr>
        <w:tab/>
      </w:r>
      <w:r>
        <w:rPr>
          <w:rFonts w:ascii="Arial" w:hAnsi="Arial" w:cs="Arial"/>
          <w:lang w:val="en-ZA"/>
        </w:rPr>
        <w:t>Yes, it is still applicable.</w:t>
      </w:r>
    </w:p>
    <w:p w14:paraId="1B29254A" w14:textId="3A5173B9" w:rsidR="00C02D0F" w:rsidRDefault="00C02D0F" w:rsidP="00062495">
      <w:pPr>
        <w:spacing w:before="100" w:beforeAutospacing="1" w:after="100" w:afterAutospacing="1" w:line="360" w:lineRule="auto"/>
        <w:ind w:left="1440"/>
        <w:jc w:val="both"/>
        <w:rPr>
          <w:rFonts w:ascii="Arial" w:hAnsi="Arial" w:cs="Arial"/>
          <w:lang w:val="en-ZA"/>
        </w:rPr>
      </w:pPr>
      <w:r>
        <w:rPr>
          <w:rFonts w:ascii="Arial" w:hAnsi="Arial" w:cs="Arial"/>
          <w:lang w:val="en-ZA"/>
        </w:rPr>
        <w:t>(a)</w:t>
      </w:r>
      <w:r w:rsidR="00062495">
        <w:rPr>
          <w:rFonts w:ascii="Arial" w:hAnsi="Arial" w:cs="Arial"/>
          <w:lang w:val="en-ZA"/>
        </w:rPr>
        <w:t xml:space="preserve"> </w:t>
      </w:r>
      <w:r>
        <w:rPr>
          <w:rFonts w:ascii="Arial" w:hAnsi="Arial" w:cs="Arial"/>
          <w:lang w:val="en-ZA"/>
        </w:rPr>
        <w:t>The Department is not considering any proposed amendment of the regulation at this</w:t>
      </w:r>
      <w:r w:rsidR="00062495">
        <w:rPr>
          <w:rFonts w:ascii="Arial" w:hAnsi="Arial" w:cs="Arial"/>
          <w:lang w:val="en-ZA"/>
        </w:rPr>
        <w:t xml:space="preserve"> </w:t>
      </w:r>
      <w:r>
        <w:rPr>
          <w:rFonts w:ascii="Arial" w:hAnsi="Arial" w:cs="Arial"/>
          <w:lang w:val="en-ZA"/>
        </w:rPr>
        <w:t>moment.</w:t>
      </w:r>
    </w:p>
    <w:p w14:paraId="14884BB2" w14:textId="68893CAE" w:rsidR="00C02D0F" w:rsidRPr="006043D8" w:rsidRDefault="00C02D0F" w:rsidP="00062495">
      <w:pPr>
        <w:spacing w:before="100" w:beforeAutospacing="1" w:after="100" w:afterAutospacing="1" w:line="360" w:lineRule="auto"/>
        <w:ind w:left="1440"/>
        <w:jc w:val="both"/>
        <w:rPr>
          <w:rFonts w:ascii="Arial" w:eastAsia="Calibri" w:hAnsi="Arial" w:cs="Arial"/>
          <w:b/>
          <w:lang w:val="en-ZA"/>
        </w:rPr>
      </w:pPr>
      <w:r>
        <w:rPr>
          <w:rFonts w:ascii="Arial" w:hAnsi="Arial" w:cs="Arial"/>
          <w:lang w:val="en-ZA"/>
        </w:rPr>
        <w:t xml:space="preserve">(b) </w:t>
      </w:r>
      <w:bookmarkStart w:id="0" w:name="_GoBack"/>
      <w:bookmarkEnd w:id="0"/>
      <w:r>
        <w:rPr>
          <w:rFonts w:ascii="Arial" w:hAnsi="Arial" w:cs="Arial"/>
          <w:lang w:val="en-ZA"/>
        </w:rPr>
        <w:t>Based on the reply provided in (a) above (</w:t>
      </w:r>
      <w:proofErr w:type="spellStart"/>
      <w:r>
        <w:rPr>
          <w:rFonts w:ascii="Arial" w:hAnsi="Arial" w:cs="Arial"/>
          <w:lang w:val="en-ZA"/>
        </w:rPr>
        <w:t>i</w:t>
      </w:r>
      <w:proofErr w:type="spellEnd"/>
      <w:r>
        <w:rPr>
          <w:rFonts w:ascii="Arial" w:hAnsi="Arial" w:cs="Arial"/>
          <w:lang w:val="en-ZA"/>
        </w:rPr>
        <w:t>) and (ii) falls away.</w:t>
      </w:r>
    </w:p>
    <w:p w14:paraId="76C43CEC" w14:textId="0F3F8651" w:rsidR="001068D0" w:rsidRPr="00826AF8" w:rsidRDefault="001068D0" w:rsidP="00826AF8"/>
    <w:sectPr w:rsidR="001068D0" w:rsidRPr="00826AF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D8D1" w14:textId="77777777" w:rsidR="004A64EF" w:rsidRDefault="004A64EF" w:rsidP="00DB1508">
      <w:pPr>
        <w:spacing w:after="0" w:line="240" w:lineRule="auto"/>
      </w:pPr>
      <w:r>
        <w:separator/>
      </w:r>
    </w:p>
  </w:endnote>
  <w:endnote w:type="continuationSeparator" w:id="0">
    <w:p w14:paraId="2CC89DAD" w14:textId="77777777" w:rsidR="004A64EF" w:rsidRDefault="004A64E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6125" w14:textId="77777777" w:rsidR="004A64EF" w:rsidRDefault="004A64EF" w:rsidP="00DB1508">
      <w:pPr>
        <w:spacing w:after="0" w:line="240" w:lineRule="auto"/>
      </w:pPr>
      <w:r>
        <w:separator/>
      </w:r>
    </w:p>
  </w:footnote>
  <w:footnote w:type="continuationSeparator" w:id="0">
    <w:p w14:paraId="23B7D75E" w14:textId="77777777" w:rsidR="004A64EF" w:rsidRDefault="004A64EF"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25"/>
  </w:num>
  <w:num w:numId="3">
    <w:abstractNumId w:val="1"/>
  </w:num>
  <w:num w:numId="4">
    <w:abstractNumId w:val="17"/>
  </w:num>
  <w:num w:numId="5">
    <w:abstractNumId w:val="16"/>
  </w:num>
  <w:num w:numId="6">
    <w:abstractNumId w:val="4"/>
  </w:num>
  <w:num w:numId="7">
    <w:abstractNumId w:val="0"/>
  </w:num>
  <w:num w:numId="8">
    <w:abstractNumId w:val="27"/>
  </w:num>
  <w:num w:numId="9">
    <w:abstractNumId w:val="19"/>
  </w:num>
  <w:num w:numId="10">
    <w:abstractNumId w:val="23"/>
  </w:num>
  <w:num w:numId="11">
    <w:abstractNumId w:val="14"/>
  </w:num>
  <w:num w:numId="12">
    <w:abstractNumId w:val="6"/>
  </w:num>
  <w:num w:numId="13">
    <w:abstractNumId w:val="3"/>
  </w:num>
  <w:num w:numId="14">
    <w:abstractNumId w:val="12"/>
  </w:num>
  <w:num w:numId="15">
    <w:abstractNumId w:val="21"/>
  </w:num>
  <w:num w:numId="16">
    <w:abstractNumId w:val="7"/>
  </w:num>
  <w:num w:numId="17">
    <w:abstractNumId w:val="11"/>
  </w:num>
  <w:num w:numId="18">
    <w:abstractNumId w:val="9"/>
  </w:num>
  <w:num w:numId="19">
    <w:abstractNumId w:val="28"/>
  </w:num>
  <w:num w:numId="20">
    <w:abstractNumId w:val="15"/>
  </w:num>
  <w:num w:numId="21">
    <w:abstractNumId w:val="13"/>
  </w:num>
  <w:num w:numId="22">
    <w:abstractNumId w:val="18"/>
  </w:num>
  <w:num w:numId="23">
    <w:abstractNumId w:val="10"/>
  </w:num>
  <w:num w:numId="24">
    <w:abstractNumId w:val="5"/>
  </w:num>
  <w:num w:numId="25">
    <w:abstractNumId w:val="24"/>
  </w:num>
  <w:num w:numId="26">
    <w:abstractNumId w:val="20"/>
  </w:num>
  <w:num w:numId="27">
    <w:abstractNumId w:val="26"/>
  </w:num>
  <w:num w:numId="28">
    <w:abstractNumId w:val="2"/>
  </w:num>
  <w:num w:numId="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64EF"/>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C926-3EBF-40E8-BBB4-1B492D2D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2018-11-01T10:05:00Z</dcterms:created>
  <dcterms:modified xsi:type="dcterms:W3CDTF">2018-11-01T10:08:00Z</dcterms:modified>
</cp:coreProperties>
</file>