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Start w:id="1" w:name="_Hlk34206045"/>
      <w:bookmarkEnd w:id="0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CA1CE5">
        <w:rPr>
          <w:rFonts w:ascii="Arial" w:hAnsi="Arial" w:cs="Arial"/>
          <w:b/>
          <w:sz w:val="22"/>
          <w:szCs w:val="22"/>
          <w:lang w:val="en-ZA"/>
        </w:rPr>
        <w:t>300</w:t>
      </w:r>
      <w:r w:rsidR="00AF6C3E">
        <w:rPr>
          <w:rFonts w:ascii="Arial" w:hAnsi="Arial" w:cs="Arial"/>
          <w:b/>
          <w:sz w:val="22"/>
          <w:szCs w:val="22"/>
          <w:lang w:val="en-ZA"/>
        </w:rPr>
        <w:t>9</w:t>
      </w:r>
      <w:r w:rsidR="0027436F" w:rsidRPr="000147EE">
        <w:rPr>
          <w:rFonts w:ascii="Arial" w:hAnsi="Arial" w:cs="Arial"/>
          <w:b/>
          <w:sz w:val="22"/>
          <w:szCs w:val="22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AF6C3E" w:rsidRPr="00AF6C3E">
        <w:rPr>
          <w:rFonts w:ascii="Arial" w:hAnsi="Arial" w:cs="Arial"/>
          <w:b/>
          <w:sz w:val="22"/>
          <w:szCs w:val="22"/>
        </w:rPr>
        <w:t>NW3837E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1"/>
    <w:bookmarkEnd w:id="2"/>
    <w:bookmarkEnd w:id="4"/>
    <w:p w:rsidR="008E3D62" w:rsidRPr="00CA1CE5" w:rsidRDefault="008E3D62" w:rsidP="00CA1C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F6C3E" w:rsidRPr="00AF6C3E" w:rsidRDefault="00AF6C3E" w:rsidP="00AF6C3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AF6C3E">
        <w:rPr>
          <w:rFonts w:ascii="Arial" w:eastAsia="Calibri" w:hAnsi="Arial" w:cs="Arial"/>
          <w:b/>
          <w:sz w:val="22"/>
          <w:szCs w:val="22"/>
          <w:lang w:val="en-ZA"/>
        </w:rPr>
        <w:t>3009.</w:t>
      </w:r>
      <w:r w:rsidRPr="00AF6C3E">
        <w:rPr>
          <w:rFonts w:ascii="Arial" w:eastAsia="Calibri" w:hAnsi="Arial" w:cs="Arial"/>
          <w:b/>
          <w:sz w:val="22"/>
          <w:szCs w:val="22"/>
          <w:lang w:val="en-ZA"/>
        </w:rPr>
        <w:tab/>
        <w:t>Dr D T George (DA) to ask the Minister of Finance</w:t>
      </w:r>
      <w:r w:rsidR="00F03ABD" w:rsidRPr="00AF6C3E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AF6C3E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AF6C3E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AF6C3E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F03ABD" w:rsidRPr="00AF6C3E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AF6C3E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AF6C3E" w:rsidRDefault="00AF6C3E" w:rsidP="00AF6C3E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F6C3E">
        <w:rPr>
          <w:rFonts w:ascii="Arial" w:hAnsi="Arial" w:cs="Arial"/>
          <w:sz w:val="22"/>
          <w:szCs w:val="22"/>
        </w:rPr>
        <w:t>With reference to the 2019-20 Annual Report of the Financial Intelligence Centre what are the reasons that the SA Mint, a wholly-owned subsidiary of the SA Reserve Bank, failed to (a) update information related to registration and (b) report cash thresholds for which they received a sanction of R1,3 million?</w:t>
      </w:r>
      <w:r w:rsidRPr="00AF6C3E">
        <w:rPr>
          <w:rFonts w:ascii="Arial" w:hAnsi="Arial" w:cs="Arial"/>
          <w:sz w:val="22"/>
          <w:szCs w:val="22"/>
        </w:rPr>
        <w:tab/>
      </w:r>
      <w:r w:rsidRPr="00AF6C3E">
        <w:rPr>
          <w:rFonts w:ascii="Arial" w:hAnsi="Arial" w:cs="Arial"/>
          <w:sz w:val="22"/>
          <w:szCs w:val="22"/>
        </w:rPr>
        <w:tab/>
      </w:r>
    </w:p>
    <w:p w:rsidR="00AF6C3E" w:rsidRPr="00AF6C3E" w:rsidRDefault="00AF6C3E" w:rsidP="00AF6C3E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C3E">
        <w:rPr>
          <w:rFonts w:ascii="Arial" w:hAnsi="Arial" w:cs="Arial"/>
          <w:sz w:val="22"/>
          <w:szCs w:val="22"/>
        </w:rPr>
        <w:tab/>
      </w:r>
      <w:r w:rsidRPr="00AF6C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C3E">
        <w:rPr>
          <w:rFonts w:ascii="Arial" w:hAnsi="Arial" w:cs="Arial"/>
          <w:sz w:val="22"/>
          <w:szCs w:val="22"/>
        </w:rPr>
        <w:t>NW3837E</w:t>
      </w:r>
    </w:p>
    <w:p w:rsidR="008E3D62" w:rsidRPr="00CA1CE5" w:rsidRDefault="008E3D62" w:rsidP="00AF6C3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AF6C3E">
        <w:rPr>
          <w:rFonts w:ascii="Arial" w:hAnsi="Arial" w:cs="Arial"/>
          <w:b/>
          <w:sz w:val="22"/>
          <w:szCs w:val="22"/>
        </w:rPr>
        <w:t>REPLY</w:t>
      </w:r>
    </w:p>
    <w:p w:rsidR="004A68B4" w:rsidRPr="001D4FA2" w:rsidRDefault="004A68B4" w:rsidP="004A68B4">
      <w:pPr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25 March 2019, t</w:t>
      </w:r>
      <w:r w:rsidRPr="001D4FA2">
        <w:rPr>
          <w:rFonts w:ascii="Arial" w:hAnsi="Arial" w:cs="Arial"/>
          <w:sz w:val="22"/>
          <w:szCs w:val="22"/>
        </w:rPr>
        <w:t>he Financial Intelligence Centre (“</w:t>
      </w:r>
      <w:r>
        <w:rPr>
          <w:rFonts w:ascii="Arial" w:hAnsi="Arial" w:cs="Arial"/>
          <w:sz w:val="22"/>
          <w:szCs w:val="22"/>
        </w:rPr>
        <w:t xml:space="preserve">the </w:t>
      </w:r>
      <w:r w:rsidRPr="001D4FA2">
        <w:rPr>
          <w:rFonts w:ascii="Arial" w:hAnsi="Arial" w:cs="Arial"/>
          <w:sz w:val="22"/>
          <w:szCs w:val="22"/>
        </w:rPr>
        <w:t xml:space="preserve">FIC”) conducted an inspection </w:t>
      </w:r>
      <w:r>
        <w:rPr>
          <w:rFonts w:ascii="Arial" w:hAnsi="Arial" w:cs="Arial"/>
          <w:sz w:val="22"/>
          <w:szCs w:val="22"/>
        </w:rPr>
        <w:t xml:space="preserve">on </w:t>
      </w:r>
      <w:r w:rsidRPr="001D4FA2">
        <w:rPr>
          <w:rFonts w:ascii="Arial" w:hAnsi="Arial" w:cs="Arial"/>
          <w:sz w:val="22"/>
          <w:szCs w:val="22"/>
        </w:rPr>
        <w:t>SA Mint</w:t>
      </w:r>
      <w:r>
        <w:rPr>
          <w:rFonts w:ascii="Arial" w:hAnsi="Arial" w:cs="Arial"/>
          <w:sz w:val="22"/>
          <w:szCs w:val="22"/>
        </w:rPr>
        <w:t xml:space="preserve">, with </w:t>
      </w:r>
      <w:r w:rsidRPr="001D4FA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following </w:t>
      </w:r>
      <w:r w:rsidRPr="001D4FA2">
        <w:rPr>
          <w:rFonts w:ascii="Arial" w:hAnsi="Arial" w:cs="Arial"/>
          <w:sz w:val="22"/>
          <w:szCs w:val="22"/>
        </w:rPr>
        <w:t>compliance deficiencies identified</w:t>
      </w:r>
      <w:r>
        <w:rPr>
          <w:rFonts w:ascii="Arial" w:hAnsi="Arial" w:cs="Arial"/>
          <w:sz w:val="22"/>
          <w:szCs w:val="22"/>
        </w:rPr>
        <w:t>:</w:t>
      </w:r>
    </w:p>
    <w:p w:rsidR="004A68B4" w:rsidRPr="001D4FA2" w:rsidRDefault="004A68B4" w:rsidP="004A68B4">
      <w:pPr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4A68B4" w:rsidRPr="001D4FA2" w:rsidRDefault="004A68B4" w:rsidP="004A68B4">
      <w:pPr>
        <w:pStyle w:val="ListParagraph"/>
        <w:numPr>
          <w:ilvl w:val="0"/>
          <w:numId w:val="15"/>
        </w:numPr>
        <w:spacing w:line="360" w:lineRule="auto"/>
        <w:ind w:left="567" w:right="-51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4FA2">
        <w:rPr>
          <w:rFonts w:ascii="Arial" w:hAnsi="Arial" w:cs="Arial"/>
          <w:b/>
          <w:sz w:val="22"/>
          <w:szCs w:val="22"/>
          <w:u w:val="single"/>
        </w:rPr>
        <w:t xml:space="preserve">Failure to update information related to </w:t>
      </w:r>
      <w:r>
        <w:rPr>
          <w:rFonts w:ascii="Arial" w:hAnsi="Arial" w:cs="Arial"/>
          <w:b/>
          <w:sz w:val="22"/>
          <w:szCs w:val="22"/>
          <w:u w:val="single"/>
        </w:rPr>
        <w:t>t</w:t>
      </w:r>
      <w:r w:rsidRPr="001D4FA2">
        <w:rPr>
          <w:rFonts w:ascii="Arial" w:hAnsi="Arial" w:cs="Arial"/>
          <w:b/>
          <w:sz w:val="22"/>
          <w:szCs w:val="22"/>
          <w:u w:val="single"/>
        </w:rPr>
        <w:t>he SA Mint</w:t>
      </w:r>
      <w:r>
        <w:rPr>
          <w:rFonts w:ascii="Arial" w:hAnsi="Arial" w:cs="Arial"/>
          <w:b/>
          <w:sz w:val="22"/>
          <w:szCs w:val="22"/>
          <w:u w:val="single"/>
        </w:rPr>
        <w:t>’s</w:t>
      </w:r>
      <w:r w:rsidRPr="001D4FA2">
        <w:rPr>
          <w:rFonts w:ascii="Arial" w:hAnsi="Arial" w:cs="Arial"/>
          <w:b/>
          <w:sz w:val="22"/>
          <w:szCs w:val="22"/>
          <w:u w:val="single"/>
        </w:rPr>
        <w:t xml:space="preserve"> registration: </w:t>
      </w:r>
    </w:p>
    <w:p w:rsidR="004A68B4" w:rsidRPr="001D4FA2" w:rsidRDefault="004A68B4" w:rsidP="004A68B4">
      <w:pPr>
        <w:pStyle w:val="ListParagraph"/>
        <w:spacing w:line="360" w:lineRule="auto"/>
        <w:ind w:left="567" w:right="-51"/>
        <w:jc w:val="both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4"/>
        </w:numPr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 w:rsidRPr="001D4FA2">
        <w:rPr>
          <w:rFonts w:ascii="Arial" w:hAnsi="Arial" w:cs="Arial"/>
          <w:sz w:val="22"/>
          <w:szCs w:val="22"/>
        </w:rPr>
        <w:t xml:space="preserve">The SA Mint was registered with the FIC as a reporting institution with effect from 27 November 2013. </w:t>
      </w:r>
    </w:p>
    <w:p w:rsidR="004A68B4" w:rsidRPr="001D4FA2" w:rsidRDefault="004A68B4" w:rsidP="004A68B4">
      <w:pPr>
        <w:pStyle w:val="ListParagraph"/>
        <w:spacing w:line="360" w:lineRule="auto"/>
        <w:ind w:left="567" w:right="-51"/>
        <w:jc w:val="both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4"/>
        </w:numPr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 w:rsidRPr="001D4FA2">
        <w:rPr>
          <w:rFonts w:ascii="Arial" w:hAnsi="Arial" w:cs="Arial"/>
          <w:sz w:val="22"/>
          <w:szCs w:val="22"/>
        </w:rPr>
        <w:t xml:space="preserve">With the introduction of </w:t>
      </w:r>
      <w:r>
        <w:rPr>
          <w:rFonts w:ascii="Arial" w:hAnsi="Arial" w:cs="Arial"/>
          <w:sz w:val="22"/>
          <w:szCs w:val="22"/>
        </w:rPr>
        <w:t xml:space="preserve">FIC’s </w:t>
      </w:r>
      <w:r w:rsidRPr="004A68B4">
        <w:rPr>
          <w:rFonts w:ascii="Arial" w:hAnsi="Arial" w:cs="Arial"/>
          <w:i/>
          <w:sz w:val="22"/>
          <w:szCs w:val="22"/>
        </w:rPr>
        <w:t>goAML</w:t>
      </w:r>
      <w:r w:rsidRPr="001D4FA2">
        <w:rPr>
          <w:rFonts w:ascii="Arial" w:hAnsi="Arial" w:cs="Arial"/>
          <w:sz w:val="22"/>
          <w:szCs w:val="22"/>
        </w:rPr>
        <w:t xml:space="preserve"> registration system</w:t>
      </w:r>
      <w:r>
        <w:rPr>
          <w:rFonts w:ascii="Arial" w:hAnsi="Arial" w:cs="Arial"/>
          <w:sz w:val="22"/>
          <w:szCs w:val="22"/>
        </w:rPr>
        <w:t xml:space="preserve"> in 2016</w:t>
      </w:r>
      <w:r w:rsidRPr="001D4FA2">
        <w:rPr>
          <w:rFonts w:ascii="Arial" w:hAnsi="Arial" w:cs="Arial"/>
          <w:sz w:val="22"/>
          <w:szCs w:val="22"/>
        </w:rPr>
        <w:t xml:space="preserve">, the notification </w:t>
      </w:r>
      <w:r>
        <w:rPr>
          <w:rFonts w:ascii="Arial" w:hAnsi="Arial" w:cs="Arial"/>
          <w:sz w:val="22"/>
          <w:szCs w:val="22"/>
        </w:rPr>
        <w:t xml:space="preserve">to register on the new system </w:t>
      </w:r>
      <w:r w:rsidRPr="001D4FA2">
        <w:rPr>
          <w:rFonts w:ascii="Arial" w:hAnsi="Arial" w:cs="Arial"/>
          <w:sz w:val="22"/>
          <w:szCs w:val="22"/>
        </w:rPr>
        <w:t>was sent to an employee that had left the SA Mint</w:t>
      </w:r>
      <w:r>
        <w:rPr>
          <w:rFonts w:ascii="Arial" w:hAnsi="Arial" w:cs="Arial"/>
          <w:sz w:val="22"/>
          <w:szCs w:val="22"/>
        </w:rPr>
        <w:t>,</w:t>
      </w:r>
      <w:r w:rsidRPr="001D4FA2">
        <w:rPr>
          <w:rFonts w:ascii="Arial" w:hAnsi="Arial" w:cs="Arial"/>
          <w:sz w:val="22"/>
          <w:szCs w:val="22"/>
        </w:rPr>
        <w:t xml:space="preserve"> resulting </w:t>
      </w:r>
      <w:r>
        <w:rPr>
          <w:rFonts w:ascii="Arial" w:hAnsi="Arial" w:cs="Arial"/>
          <w:sz w:val="22"/>
          <w:szCs w:val="22"/>
        </w:rPr>
        <w:t xml:space="preserve">in </w:t>
      </w:r>
      <w:r w:rsidRPr="001D4FA2">
        <w:rPr>
          <w:rFonts w:ascii="Arial" w:hAnsi="Arial" w:cs="Arial"/>
          <w:sz w:val="22"/>
          <w:szCs w:val="22"/>
        </w:rPr>
        <w:t xml:space="preserve">SA Mint </w:t>
      </w:r>
      <w:r>
        <w:rPr>
          <w:rFonts w:ascii="Arial" w:hAnsi="Arial" w:cs="Arial"/>
          <w:sz w:val="22"/>
          <w:szCs w:val="22"/>
        </w:rPr>
        <w:t xml:space="preserve">not being aware of the notification and thus </w:t>
      </w:r>
      <w:r w:rsidRPr="001D4FA2">
        <w:rPr>
          <w:rFonts w:ascii="Arial" w:hAnsi="Arial" w:cs="Arial"/>
          <w:sz w:val="22"/>
          <w:szCs w:val="22"/>
        </w:rPr>
        <w:t xml:space="preserve">not updating its information on the new online </w:t>
      </w:r>
      <w:r>
        <w:rPr>
          <w:rFonts w:ascii="Arial" w:hAnsi="Arial" w:cs="Arial"/>
          <w:sz w:val="22"/>
          <w:szCs w:val="22"/>
        </w:rPr>
        <w:t xml:space="preserve">registration </w:t>
      </w:r>
      <w:r w:rsidRPr="001D4FA2">
        <w:rPr>
          <w:rFonts w:ascii="Arial" w:hAnsi="Arial" w:cs="Arial"/>
          <w:sz w:val="22"/>
          <w:szCs w:val="22"/>
        </w:rPr>
        <w:t xml:space="preserve">system. </w:t>
      </w:r>
    </w:p>
    <w:p w:rsidR="004A68B4" w:rsidRPr="001D4FA2" w:rsidRDefault="004A68B4" w:rsidP="004A68B4">
      <w:pPr>
        <w:pStyle w:val="ListParagraph"/>
        <w:rPr>
          <w:rFonts w:ascii="Arial" w:hAnsi="Arial" w:cs="Arial"/>
          <w:sz w:val="22"/>
          <w:szCs w:val="22"/>
        </w:rPr>
      </w:pPr>
    </w:p>
    <w:p w:rsidR="004A68B4" w:rsidRPr="001D4FA2" w:rsidRDefault="004A68B4" w:rsidP="004A68B4">
      <w:pPr>
        <w:pStyle w:val="ListParagraph"/>
        <w:numPr>
          <w:ilvl w:val="0"/>
          <w:numId w:val="14"/>
        </w:numPr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August 2019 and subsequent to the inspection, SA Mint updated its registration information with the FIC</w:t>
      </w:r>
      <w:r w:rsidRPr="001D4FA2">
        <w:rPr>
          <w:rFonts w:ascii="Arial" w:hAnsi="Arial" w:cs="Arial"/>
          <w:sz w:val="22"/>
          <w:szCs w:val="22"/>
        </w:rPr>
        <w:t>.</w:t>
      </w:r>
    </w:p>
    <w:p w:rsidR="00343604" w:rsidRDefault="00343604" w:rsidP="004A68B4">
      <w:pPr>
        <w:pStyle w:val="ListParagraph"/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b/>
          <w:sz w:val="22"/>
          <w:szCs w:val="22"/>
        </w:rPr>
      </w:pPr>
    </w:p>
    <w:p w:rsidR="004A68B4" w:rsidRPr="001D4FA2" w:rsidRDefault="004A68B4" w:rsidP="004A68B4">
      <w:pPr>
        <w:pStyle w:val="ListParagraph"/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A68B4"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D4FA2">
        <w:rPr>
          <w:rFonts w:ascii="Arial" w:hAnsi="Arial" w:cs="Arial"/>
          <w:b/>
          <w:sz w:val="22"/>
          <w:szCs w:val="22"/>
          <w:u w:val="single"/>
        </w:rPr>
        <w:t>Failure to report cash threshold transactions:</w:t>
      </w:r>
    </w:p>
    <w:p w:rsidR="004A68B4" w:rsidRPr="001D4FA2" w:rsidRDefault="004A68B4" w:rsidP="004A68B4">
      <w:pPr>
        <w:pStyle w:val="ListParagraph"/>
        <w:spacing w:line="360" w:lineRule="auto"/>
        <w:ind w:left="567" w:right="-51"/>
        <w:jc w:val="both"/>
        <w:rPr>
          <w:rFonts w:ascii="Arial" w:hAnsi="Arial" w:cs="Arial"/>
          <w:sz w:val="22"/>
          <w:szCs w:val="22"/>
        </w:rPr>
      </w:pPr>
    </w:p>
    <w:p w:rsidR="004A68B4" w:rsidRPr="004A68B4" w:rsidRDefault="004A68B4" w:rsidP="004A68B4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 w:rsidRPr="004A68B4">
        <w:rPr>
          <w:rFonts w:ascii="Arial" w:hAnsi="Arial" w:cs="Arial"/>
          <w:sz w:val="22"/>
          <w:szCs w:val="22"/>
        </w:rPr>
        <w:t>In terms of the inspection</w:t>
      </w:r>
      <w:r>
        <w:rPr>
          <w:rFonts w:ascii="Arial" w:hAnsi="Arial" w:cs="Arial"/>
          <w:sz w:val="22"/>
          <w:szCs w:val="22"/>
        </w:rPr>
        <w:t xml:space="preserve"> conducted, </w:t>
      </w:r>
      <w:r w:rsidRPr="004A68B4">
        <w:rPr>
          <w:rFonts w:ascii="Arial" w:hAnsi="Arial" w:cs="Arial"/>
          <w:sz w:val="22"/>
          <w:szCs w:val="22"/>
        </w:rPr>
        <w:t xml:space="preserve">the FIC found that SA Mint did not report cash transactions at its retail store, Coin World, as well as direct cash deposits made into its bank account.  </w:t>
      </w:r>
    </w:p>
    <w:p w:rsidR="004A68B4" w:rsidRDefault="004A68B4" w:rsidP="004A68B4">
      <w:pPr>
        <w:pStyle w:val="ListParagraph"/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 w:rsidRPr="001D4FA2">
        <w:rPr>
          <w:rFonts w:ascii="Arial" w:hAnsi="Arial" w:cs="Arial"/>
          <w:sz w:val="22"/>
          <w:szCs w:val="22"/>
        </w:rPr>
        <w:t>Furthermore, the FIC found that the internal classification of funds received</w:t>
      </w:r>
      <w:r>
        <w:rPr>
          <w:rFonts w:ascii="Arial" w:hAnsi="Arial" w:cs="Arial"/>
          <w:sz w:val="22"/>
          <w:szCs w:val="22"/>
        </w:rPr>
        <w:t>,</w:t>
      </w:r>
      <w:r w:rsidRPr="001D4FA2">
        <w:rPr>
          <w:rFonts w:ascii="Arial" w:hAnsi="Arial" w:cs="Arial"/>
          <w:sz w:val="22"/>
          <w:szCs w:val="22"/>
        </w:rPr>
        <w:t xml:space="preserve"> did not differentiate between cash or electronic </w:t>
      </w:r>
      <w:r>
        <w:rPr>
          <w:rFonts w:ascii="Arial" w:hAnsi="Arial" w:cs="Arial"/>
          <w:sz w:val="22"/>
          <w:szCs w:val="22"/>
        </w:rPr>
        <w:t>payments</w:t>
      </w:r>
      <w:r w:rsidRPr="001D4FA2">
        <w:rPr>
          <w:rFonts w:ascii="Arial" w:hAnsi="Arial" w:cs="Arial"/>
          <w:sz w:val="22"/>
          <w:szCs w:val="22"/>
        </w:rPr>
        <w:t xml:space="preserve">. </w:t>
      </w:r>
    </w:p>
    <w:p w:rsidR="004A68B4" w:rsidRPr="001D4FA2" w:rsidRDefault="004A68B4" w:rsidP="004A68B4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 w:rsidRPr="001D4FA2">
        <w:rPr>
          <w:rFonts w:ascii="Arial" w:hAnsi="Arial" w:cs="Arial"/>
          <w:sz w:val="22"/>
          <w:szCs w:val="22"/>
        </w:rPr>
        <w:t>In addition, there were two instances of cash received at the retail outlet</w:t>
      </w:r>
      <w:r>
        <w:rPr>
          <w:rFonts w:ascii="Arial" w:hAnsi="Arial" w:cs="Arial"/>
          <w:sz w:val="22"/>
          <w:szCs w:val="22"/>
        </w:rPr>
        <w:t>,</w:t>
      </w:r>
      <w:r w:rsidRPr="001D4FA2">
        <w:rPr>
          <w:rFonts w:ascii="Arial" w:hAnsi="Arial" w:cs="Arial"/>
          <w:sz w:val="22"/>
          <w:szCs w:val="22"/>
        </w:rPr>
        <w:t xml:space="preserve"> which were reported late </w:t>
      </w:r>
      <w:r>
        <w:rPr>
          <w:rFonts w:ascii="Arial" w:hAnsi="Arial" w:cs="Arial"/>
          <w:sz w:val="22"/>
          <w:szCs w:val="22"/>
        </w:rPr>
        <w:t xml:space="preserve">and not </w:t>
      </w:r>
      <w:r w:rsidRPr="001D4FA2">
        <w:rPr>
          <w:rFonts w:ascii="Arial" w:hAnsi="Arial" w:cs="Arial"/>
          <w:sz w:val="22"/>
          <w:szCs w:val="22"/>
        </w:rPr>
        <w:t xml:space="preserve">in accordance with the FIC Act time frames. </w:t>
      </w:r>
    </w:p>
    <w:p w:rsidR="004A68B4" w:rsidRPr="001D4FA2" w:rsidRDefault="004A68B4" w:rsidP="004A68B4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Mint confirms that w</w:t>
      </w:r>
      <w:r w:rsidRPr="001D4FA2">
        <w:rPr>
          <w:rFonts w:ascii="Arial" w:hAnsi="Arial" w:cs="Arial"/>
          <w:sz w:val="22"/>
          <w:szCs w:val="22"/>
        </w:rPr>
        <w:t xml:space="preserve">here the information was available, the relevant cash threshold transactions </w:t>
      </w:r>
      <w:r>
        <w:rPr>
          <w:rFonts w:ascii="Arial" w:hAnsi="Arial" w:cs="Arial"/>
          <w:sz w:val="22"/>
          <w:szCs w:val="22"/>
        </w:rPr>
        <w:t xml:space="preserve">have been reported to the </w:t>
      </w:r>
      <w:r w:rsidRPr="001D4FA2">
        <w:rPr>
          <w:rFonts w:ascii="Arial" w:hAnsi="Arial" w:cs="Arial"/>
          <w:sz w:val="22"/>
          <w:szCs w:val="22"/>
        </w:rPr>
        <w:t xml:space="preserve">FIC </w:t>
      </w:r>
      <w:r>
        <w:rPr>
          <w:rFonts w:ascii="Arial" w:hAnsi="Arial" w:cs="Arial"/>
          <w:sz w:val="22"/>
          <w:szCs w:val="22"/>
        </w:rPr>
        <w:t xml:space="preserve">subsequent to the </w:t>
      </w:r>
      <w:r w:rsidRPr="001D4FA2">
        <w:rPr>
          <w:rFonts w:ascii="Arial" w:hAnsi="Arial" w:cs="Arial"/>
          <w:sz w:val="22"/>
          <w:szCs w:val="22"/>
        </w:rPr>
        <w:t>inspection</w:t>
      </w:r>
      <w:r>
        <w:rPr>
          <w:rFonts w:ascii="Arial" w:hAnsi="Arial" w:cs="Arial"/>
          <w:sz w:val="22"/>
          <w:szCs w:val="22"/>
        </w:rPr>
        <w:t>.</w:t>
      </w:r>
    </w:p>
    <w:p w:rsidR="004A68B4" w:rsidRPr="001D4FA2" w:rsidRDefault="004A68B4" w:rsidP="004A68B4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Further, SA Mint confirms that it </w:t>
      </w:r>
      <w:r w:rsidRPr="001D4FA2">
        <w:rPr>
          <w:rFonts w:ascii="Arial" w:hAnsi="Arial" w:cs="Arial"/>
          <w:sz w:val="22"/>
          <w:szCs w:val="22"/>
        </w:rPr>
        <w:t xml:space="preserve">continues to </w:t>
      </w:r>
      <w:r>
        <w:rPr>
          <w:rFonts w:ascii="Arial" w:hAnsi="Arial" w:cs="Arial"/>
          <w:sz w:val="22"/>
          <w:szCs w:val="22"/>
        </w:rPr>
        <w:t xml:space="preserve">timeously </w:t>
      </w:r>
      <w:r w:rsidRPr="001D4FA2">
        <w:rPr>
          <w:rFonts w:ascii="Arial" w:hAnsi="Arial" w:cs="Arial"/>
          <w:sz w:val="22"/>
          <w:szCs w:val="22"/>
        </w:rPr>
        <w:t xml:space="preserve">report all relevant cash </w:t>
      </w:r>
      <w:r>
        <w:rPr>
          <w:rFonts w:ascii="Arial" w:hAnsi="Arial" w:cs="Arial"/>
          <w:sz w:val="22"/>
          <w:szCs w:val="22"/>
        </w:rPr>
        <w:t xml:space="preserve">threshold </w:t>
      </w:r>
      <w:r w:rsidRPr="001D4FA2">
        <w:rPr>
          <w:rFonts w:ascii="Arial" w:hAnsi="Arial" w:cs="Arial"/>
          <w:sz w:val="22"/>
          <w:szCs w:val="22"/>
        </w:rPr>
        <w:t xml:space="preserve">transactions in accordance with </w:t>
      </w:r>
      <w:r>
        <w:rPr>
          <w:rFonts w:ascii="Arial" w:hAnsi="Arial" w:cs="Arial"/>
          <w:sz w:val="22"/>
          <w:szCs w:val="22"/>
        </w:rPr>
        <w:t xml:space="preserve">section 28 of </w:t>
      </w:r>
      <w:r w:rsidRPr="001D4FA2">
        <w:rPr>
          <w:rFonts w:ascii="Arial" w:hAnsi="Arial" w:cs="Arial"/>
          <w:sz w:val="22"/>
          <w:szCs w:val="22"/>
        </w:rPr>
        <w:t xml:space="preserve">the FIC Act.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68B4" w:rsidRPr="001D4FA2" w:rsidRDefault="004A68B4" w:rsidP="004A68B4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:rsidR="004A68B4" w:rsidRDefault="004A68B4" w:rsidP="004A68B4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ind w:left="567" w:right="-51" w:hanging="567"/>
        <w:jc w:val="both"/>
        <w:rPr>
          <w:rFonts w:ascii="Arial" w:hAnsi="Arial" w:cs="Arial"/>
          <w:sz w:val="22"/>
          <w:szCs w:val="22"/>
        </w:rPr>
      </w:pPr>
      <w:r w:rsidRPr="001D4FA2">
        <w:rPr>
          <w:rFonts w:ascii="Arial" w:hAnsi="Arial" w:cs="Arial"/>
          <w:sz w:val="22"/>
          <w:szCs w:val="22"/>
        </w:rPr>
        <w:t xml:space="preserve">Currently, the SA Mint is in full compliance with the FIC Act and the relevant training, processes, procedures and monitoring systems are in place to ensure </w:t>
      </w:r>
      <w:r>
        <w:rPr>
          <w:rFonts w:ascii="Arial" w:hAnsi="Arial" w:cs="Arial"/>
          <w:sz w:val="22"/>
          <w:szCs w:val="22"/>
        </w:rPr>
        <w:t>full compliance with its FIC Act obligations.</w:t>
      </w:r>
    </w:p>
    <w:p w:rsidR="004A68B4" w:rsidRPr="004A68B4" w:rsidRDefault="004A68B4" w:rsidP="004A68B4">
      <w:pPr>
        <w:spacing w:line="360" w:lineRule="auto"/>
        <w:ind w:right="-51"/>
        <w:jc w:val="both"/>
        <w:rPr>
          <w:rFonts w:ascii="Arial" w:hAnsi="Arial" w:cs="Arial"/>
          <w:sz w:val="22"/>
          <w:szCs w:val="22"/>
        </w:rPr>
      </w:pPr>
    </w:p>
    <w:p w:rsidR="004A68B4" w:rsidRPr="001D4FA2" w:rsidRDefault="004A68B4" w:rsidP="004A68B4">
      <w:pPr>
        <w:spacing w:line="360" w:lineRule="auto"/>
        <w:ind w:right="-51"/>
        <w:jc w:val="both"/>
        <w:rPr>
          <w:rFonts w:ascii="Arial" w:hAnsi="Arial" w:cs="Arial"/>
          <w:b/>
          <w:sz w:val="22"/>
          <w:szCs w:val="22"/>
        </w:rPr>
      </w:pPr>
      <w:r w:rsidRPr="001D4FA2">
        <w:rPr>
          <w:rFonts w:ascii="Arial" w:hAnsi="Arial" w:cs="Arial"/>
          <w:sz w:val="22"/>
          <w:szCs w:val="22"/>
        </w:rPr>
        <w:tab/>
      </w:r>
      <w:r w:rsidRPr="001D4FA2">
        <w:rPr>
          <w:rFonts w:ascii="Arial" w:hAnsi="Arial" w:cs="Arial"/>
          <w:sz w:val="22"/>
          <w:szCs w:val="22"/>
        </w:rPr>
        <w:tab/>
      </w:r>
      <w:r w:rsidRPr="001D4FA2">
        <w:rPr>
          <w:rFonts w:ascii="Arial" w:hAnsi="Arial" w:cs="Arial"/>
          <w:sz w:val="22"/>
          <w:szCs w:val="22"/>
        </w:rPr>
        <w:tab/>
      </w:r>
      <w:r w:rsidRPr="001D4FA2">
        <w:rPr>
          <w:rFonts w:ascii="Arial" w:hAnsi="Arial" w:cs="Arial"/>
          <w:sz w:val="22"/>
          <w:szCs w:val="22"/>
        </w:rPr>
        <w:tab/>
      </w:r>
      <w:r w:rsidRPr="001D4FA2">
        <w:rPr>
          <w:rFonts w:ascii="Arial" w:hAnsi="Arial" w:cs="Arial"/>
          <w:sz w:val="22"/>
          <w:szCs w:val="22"/>
        </w:rPr>
        <w:tab/>
      </w:r>
    </w:p>
    <w:p w:rsidR="004A68B4" w:rsidRDefault="004A68B4" w:rsidP="00A60DDB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4A68B4" w:rsidSect="004A68B4">
      <w:footerReference w:type="default" r:id="rId11"/>
      <w:pgSz w:w="12240" w:h="15840" w:code="1"/>
      <w:pgMar w:top="1418" w:right="1418" w:bottom="851" w:left="1418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DB" w:rsidRDefault="007639DB" w:rsidP="00380E88">
      <w:r>
        <w:separator/>
      </w:r>
    </w:p>
  </w:endnote>
  <w:endnote w:type="continuationSeparator" w:id="0">
    <w:p w:rsidR="007639DB" w:rsidRDefault="007639DB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6812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54413532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4A68B4" w:rsidRPr="004A68B4" w:rsidRDefault="004A68B4" w:rsidP="004A68B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8B4">
              <w:rPr>
                <w:rFonts w:ascii="Arial" w:hAnsi="Arial" w:cs="Arial"/>
                <w:sz w:val="16"/>
                <w:szCs w:val="16"/>
              </w:rPr>
              <w:t xml:space="preserve">QUESTION NUMBER: </w:t>
            </w:r>
            <w:r w:rsidRPr="004A68B4">
              <w:rPr>
                <w:rFonts w:ascii="Arial" w:hAnsi="Arial" w:cs="Arial"/>
                <w:sz w:val="16"/>
                <w:szCs w:val="16"/>
                <w:lang w:val="en-ZA"/>
              </w:rPr>
              <w:t>3009</w:t>
            </w:r>
            <w:r w:rsidRPr="004A68B4">
              <w:rPr>
                <w:rFonts w:ascii="Arial" w:hAnsi="Arial" w:cs="Arial"/>
                <w:sz w:val="16"/>
                <w:szCs w:val="16"/>
              </w:rPr>
              <w:t xml:space="preserve"> [NW3837E]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4A68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F03ABD" w:rsidRPr="004A6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A68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F03ABD" w:rsidRPr="004A6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0B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3ABD" w:rsidRPr="004A6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A68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F03ABD" w:rsidRPr="004A6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A68B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F03ABD" w:rsidRPr="004A6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0B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F03ABD" w:rsidRPr="004A68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68B4" w:rsidRDefault="004A6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DB" w:rsidRDefault="007639DB" w:rsidP="00380E88">
      <w:r>
        <w:separator/>
      </w:r>
    </w:p>
  </w:footnote>
  <w:footnote w:type="continuationSeparator" w:id="0">
    <w:p w:rsidR="007639DB" w:rsidRDefault="007639DB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4AB"/>
    <w:multiLevelType w:val="hybridMultilevel"/>
    <w:tmpl w:val="B80641C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7E6"/>
    <w:multiLevelType w:val="hybridMultilevel"/>
    <w:tmpl w:val="7236E3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3E0A"/>
    <w:multiLevelType w:val="hybridMultilevel"/>
    <w:tmpl w:val="9DE4B0F8"/>
    <w:lvl w:ilvl="0" w:tplc="B8A07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3269"/>
    <w:multiLevelType w:val="hybridMultilevel"/>
    <w:tmpl w:val="9A10F0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13"/>
  </w:num>
  <w:num w:numId="6">
    <w:abstractNumId w:val="5"/>
  </w:num>
  <w:num w:numId="7">
    <w:abstractNumId w:val="5"/>
  </w:num>
  <w:num w:numId="8">
    <w:abstractNumId w:val="14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0063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1B0E"/>
    <w:rsid w:val="00042E4A"/>
    <w:rsid w:val="00047630"/>
    <w:rsid w:val="00050092"/>
    <w:rsid w:val="00053303"/>
    <w:rsid w:val="0005383F"/>
    <w:rsid w:val="00060E09"/>
    <w:rsid w:val="00061E6B"/>
    <w:rsid w:val="00063E28"/>
    <w:rsid w:val="0007743C"/>
    <w:rsid w:val="00082DDF"/>
    <w:rsid w:val="0008596C"/>
    <w:rsid w:val="000A3C32"/>
    <w:rsid w:val="000A5567"/>
    <w:rsid w:val="000A57B1"/>
    <w:rsid w:val="000B03AE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11CAF"/>
    <w:rsid w:val="00122C88"/>
    <w:rsid w:val="00123B87"/>
    <w:rsid w:val="00130348"/>
    <w:rsid w:val="00132CAF"/>
    <w:rsid w:val="00132CF0"/>
    <w:rsid w:val="0014126C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5A1B"/>
    <w:rsid w:val="001B7F2A"/>
    <w:rsid w:val="001C1E62"/>
    <w:rsid w:val="001D24BA"/>
    <w:rsid w:val="001D267B"/>
    <w:rsid w:val="001D4937"/>
    <w:rsid w:val="001E1132"/>
    <w:rsid w:val="001E3EF4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4427A"/>
    <w:rsid w:val="00251791"/>
    <w:rsid w:val="00260251"/>
    <w:rsid w:val="00262F05"/>
    <w:rsid w:val="0026563C"/>
    <w:rsid w:val="0027436F"/>
    <w:rsid w:val="002855CE"/>
    <w:rsid w:val="00285D7E"/>
    <w:rsid w:val="00285EA1"/>
    <w:rsid w:val="0028635F"/>
    <w:rsid w:val="002867DD"/>
    <w:rsid w:val="002927CD"/>
    <w:rsid w:val="00293E24"/>
    <w:rsid w:val="002A4157"/>
    <w:rsid w:val="002B1BAD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050F8"/>
    <w:rsid w:val="00322BE3"/>
    <w:rsid w:val="00326CF2"/>
    <w:rsid w:val="003372D2"/>
    <w:rsid w:val="003421BD"/>
    <w:rsid w:val="00343604"/>
    <w:rsid w:val="00344553"/>
    <w:rsid w:val="00345531"/>
    <w:rsid w:val="003455C4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C5083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451D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68B4"/>
    <w:rsid w:val="004A7866"/>
    <w:rsid w:val="004B1526"/>
    <w:rsid w:val="004B1D16"/>
    <w:rsid w:val="004C0E9B"/>
    <w:rsid w:val="004C0FCD"/>
    <w:rsid w:val="004C57A4"/>
    <w:rsid w:val="004D2407"/>
    <w:rsid w:val="004D3BF2"/>
    <w:rsid w:val="004D3D5A"/>
    <w:rsid w:val="004D51F0"/>
    <w:rsid w:val="004D568A"/>
    <w:rsid w:val="004E3098"/>
    <w:rsid w:val="004E635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2F93"/>
    <w:rsid w:val="005D772C"/>
    <w:rsid w:val="005E21D9"/>
    <w:rsid w:val="005E32E0"/>
    <w:rsid w:val="005E415D"/>
    <w:rsid w:val="005E433B"/>
    <w:rsid w:val="005F05C1"/>
    <w:rsid w:val="005F11A2"/>
    <w:rsid w:val="005F6B76"/>
    <w:rsid w:val="005F7420"/>
    <w:rsid w:val="00613A41"/>
    <w:rsid w:val="00613FC6"/>
    <w:rsid w:val="00614E64"/>
    <w:rsid w:val="006239F1"/>
    <w:rsid w:val="00624D20"/>
    <w:rsid w:val="0062770E"/>
    <w:rsid w:val="00631CD4"/>
    <w:rsid w:val="0063583C"/>
    <w:rsid w:val="00641158"/>
    <w:rsid w:val="0064275F"/>
    <w:rsid w:val="00642B16"/>
    <w:rsid w:val="0064512A"/>
    <w:rsid w:val="00646E7C"/>
    <w:rsid w:val="00647EF2"/>
    <w:rsid w:val="00651616"/>
    <w:rsid w:val="00653A85"/>
    <w:rsid w:val="00654140"/>
    <w:rsid w:val="00666668"/>
    <w:rsid w:val="00675635"/>
    <w:rsid w:val="00685058"/>
    <w:rsid w:val="00685F0E"/>
    <w:rsid w:val="00687D9E"/>
    <w:rsid w:val="00693A64"/>
    <w:rsid w:val="006951C6"/>
    <w:rsid w:val="006A0C31"/>
    <w:rsid w:val="006B61B0"/>
    <w:rsid w:val="006B7E8A"/>
    <w:rsid w:val="006C2D5C"/>
    <w:rsid w:val="006C3315"/>
    <w:rsid w:val="006D1766"/>
    <w:rsid w:val="006D1B36"/>
    <w:rsid w:val="006D2C61"/>
    <w:rsid w:val="006D2F61"/>
    <w:rsid w:val="006D39E9"/>
    <w:rsid w:val="006E1DD4"/>
    <w:rsid w:val="006F6060"/>
    <w:rsid w:val="007118EA"/>
    <w:rsid w:val="00712545"/>
    <w:rsid w:val="00712E95"/>
    <w:rsid w:val="00726A9C"/>
    <w:rsid w:val="00731053"/>
    <w:rsid w:val="007359BF"/>
    <w:rsid w:val="00737375"/>
    <w:rsid w:val="00743F26"/>
    <w:rsid w:val="00751942"/>
    <w:rsid w:val="00751A1E"/>
    <w:rsid w:val="007540E0"/>
    <w:rsid w:val="007544A8"/>
    <w:rsid w:val="007639DB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B7618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15F7F"/>
    <w:rsid w:val="008223D4"/>
    <w:rsid w:val="008270A1"/>
    <w:rsid w:val="00827888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3A9C"/>
    <w:rsid w:val="0088688A"/>
    <w:rsid w:val="00891265"/>
    <w:rsid w:val="00893761"/>
    <w:rsid w:val="00893CE1"/>
    <w:rsid w:val="00897498"/>
    <w:rsid w:val="00897F0B"/>
    <w:rsid w:val="008A25B9"/>
    <w:rsid w:val="008A3396"/>
    <w:rsid w:val="008A4EBA"/>
    <w:rsid w:val="008A53E5"/>
    <w:rsid w:val="008B0D44"/>
    <w:rsid w:val="008C0D4C"/>
    <w:rsid w:val="008C2559"/>
    <w:rsid w:val="008C2974"/>
    <w:rsid w:val="008E01C3"/>
    <w:rsid w:val="008E3D62"/>
    <w:rsid w:val="008E4142"/>
    <w:rsid w:val="008E68B7"/>
    <w:rsid w:val="008F2375"/>
    <w:rsid w:val="008F324E"/>
    <w:rsid w:val="008F7690"/>
    <w:rsid w:val="00905110"/>
    <w:rsid w:val="00910B58"/>
    <w:rsid w:val="00911717"/>
    <w:rsid w:val="00913FFF"/>
    <w:rsid w:val="009163A5"/>
    <w:rsid w:val="00917C44"/>
    <w:rsid w:val="009203A2"/>
    <w:rsid w:val="00933C7B"/>
    <w:rsid w:val="0093680D"/>
    <w:rsid w:val="00936BEB"/>
    <w:rsid w:val="00945BB9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3420"/>
    <w:rsid w:val="009C45D6"/>
    <w:rsid w:val="009C72B2"/>
    <w:rsid w:val="009D5139"/>
    <w:rsid w:val="009E1AB2"/>
    <w:rsid w:val="009E24E9"/>
    <w:rsid w:val="009F2415"/>
    <w:rsid w:val="009F480A"/>
    <w:rsid w:val="009F5705"/>
    <w:rsid w:val="00A02200"/>
    <w:rsid w:val="00A1513B"/>
    <w:rsid w:val="00A15D3C"/>
    <w:rsid w:val="00A1736D"/>
    <w:rsid w:val="00A20BD3"/>
    <w:rsid w:val="00A23A3E"/>
    <w:rsid w:val="00A31B65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57F1C"/>
    <w:rsid w:val="00A60DDB"/>
    <w:rsid w:val="00A610A6"/>
    <w:rsid w:val="00A62A98"/>
    <w:rsid w:val="00A677C3"/>
    <w:rsid w:val="00A72B9B"/>
    <w:rsid w:val="00A80A44"/>
    <w:rsid w:val="00A84063"/>
    <w:rsid w:val="00A952EA"/>
    <w:rsid w:val="00AA4ED9"/>
    <w:rsid w:val="00AB5748"/>
    <w:rsid w:val="00AB5B28"/>
    <w:rsid w:val="00AD00CE"/>
    <w:rsid w:val="00AD1B6E"/>
    <w:rsid w:val="00AD3B9B"/>
    <w:rsid w:val="00AD5C9B"/>
    <w:rsid w:val="00AE07DE"/>
    <w:rsid w:val="00AF6C3E"/>
    <w:rsid w:val="00B03AF4"/>
    <w:rsid w:val="00B03DD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84780"/>
    <w:rsid w:val="00B913C7"/>
    <w:rsid w:val="00B95452"/>
    <w:rsid w:val="00B96B34"/>
    <w:rsid w:val="00BA517C"/>
    <w:rsid w:val="00BA5C4D"/>
    <w:rsid w:val="00BB333E"/>
    <w:rsid w:val="00BB416B"/>
    <w:rsid w:val="00BB6FFF"/>
    <w:rsid w:val="00BC0A3B"/>
    <w:rsid w:val="00BC3150"/>
    <w:rsid w:val="00BC4BEA"/>
    <w:rsid w:val="00BC5A3F"/>
    <w:rsid w:val="00BD31C6"/>
    <w:rsid w:val="00BE533B"/>
    <w:rsid w:val="00C00A8F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56F8"/>
    <w:rsid w:val="00C77F83"/>
    <w:rsid w:val="00C87C5C"/>
    <w:rsid w:val="00C905A7"/>
    <w:rsid w:val="00CA1CE5"/>
    <w:rsid w:val="00CB034C"/>
    <w:rsid w:val="00CB4FDB"/>
    <w:rsid w:val="00CB51AD"/>
    <w:rsid w:val="00CC1834"/>
    <w:rsid w:val="00CC2F3E"/>
    <w:rsid w:val="00CC7673"/>
    <w:rsid w:val="00D01402"/>
    <w:rsid w:val="00D01E04"/>
    <w:rsid w:val="00D05765"/>
    <w:rsid w:val="00D1433D"/>
    <w:rsid w:val="00D17D13"/>
    <w:rsid w:val="00D20E78"/>
    <w:rsid w:val="00D20F25"/>
    <w:rsid w:val="00D2724B"/>
    <w:rsid w:val="00D3011F"/>
    <w:rsid w:val="00D332C0"/>
    <w:rsid w:val="00D3397E"/>
    <w:rsid w:val="00D3403D"/>
    <w:rsid w:val="00D34050"/>
    <w:rsid w:val="00D363B6"/>
    <w:rsid w:val="00D37422"/>
    <w:rsid w:val="00D41314"/>
    <w:rsid w:val="00D46E69"/>
    <w:rsid w:val="00D61422"/>
    <w:rsid w:val="00D74F80"/>
    <w:rsid w:val="00D761DC"/>
    <w:rsid w:val="00D93C3A"/>
    <w:rsid w:val="00DB2463"/>
    <w:rsid w:val="00DC769E"/>
    <w:rsid w:val="00DC76EF"/>
    <w:rsid w:val="00DD0F3E"/>
    <w:rsid w:val="00DD2A0D"/>
    <w:rsid w:val="00DD5296"/>
    <w:rsid w:val="00DE0468"/>
    <w:rsid w:val="00DE122E"/>
    <w:rsid w:val="00DE2147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0B86"/>
    <w:rsid w:val="00E42AEE"/>
    <w:rsid w:val="00E43A5D"/>
    <w:rsid w:val="00E533D0"/>
    <w:rsid w:val="00E55071"/>
    <w:rsid w:val="00E60EE1"/>
    <w:rsid w:val="00E72F99"/>
    <w:rsid w:val="00E77DF6"/>
    <w:rsid w:val="00E8352B"/>
    <w:rsid w:val="00E85289"/>
    <w:rsid w:val="00E938DE"/>
    <w:rsid w:val="00EA468F"/>
    <w:rsid w:val="00EA5561"/>
    <w:rsid w:val="00EA6A49"/>
    <w:rsid w:val="00EA792E"/>
    <w:rsid w:val="00EB04E2"/>
    <w:rsid w:val="00EB54B6"/>
    <w:rsid w:val="00EC21DD"/>
    <w:rsid w:val="00EC347E"/>
    <w:rsid w:val="00EC44C2"/>
    <w:rsid w:val="00EC4BF6"/>
    <w:rsid w:val="00ED1050"/>
    <w:rsid w:val="00ED3A3C"/>
    <w:rsid w:val="00EE7DD6"/>
    <w:rsid w:val="00EF5BB4"/>
    <w:rsid w:val="00F03ABD"/>
    <w:rsid w:val="00F03C60"/>
    <w:rsid w:val="00F04BC5"/>
    <w:rsid w:val="00F04D43"/>
    <w:rsid w:val="00F05CB1"/>
    <w:rsid w:val="00F13884"/>
    <w:rsid w:val="00F201B8"/>
    <w:rsid w:val="00F2542D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92DE8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AFB9A7890C94395E7A7E614756898" ma:contentTypeVersion="12" ma:contentTypeDescription="Create a new document." ma:contentTypeScope="" ma:versionID="f558623f97ac7e2ffb19e1116aef8c6f">
  <xsd:schema xmlns:xsd="http://www.w3.org/2001/XMLSchema" xmlns:xs="http://www.w3.org/2001/XMLSchema" xmlns:p="http://schemas.microsoft.com/office/2006/metadata/properties" xmlns:ns3="f8608f4f-9968-44ce-b845-7377af70d01b" xmlns:ns4="6aec6139-ea97-4427-9a3e-cf91250913c1" targetNamespace="http://schemas.microsoft.com/office/2006/metadata/properties" ma:root="true" ma:fieldsID="af9effde50a28c602fb56ed88a5e34f6" ns3:_="" ns4:_="">
    <xsd:import namespace="f8608f4f-9968-44ce-b845-7377af70d01b"/>
    <xsd:import namespace="6aec6139-ea97-4427-9a3e-cf9125091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8f4f-9968-44ce-b845-7377af70d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6139-ea97-4427-9a3e-cf9125091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73E8-0394-462A-B94D-20C49100DE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0115D-C436-428B-AFCD-E226912B4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B9DDBB-0BF7-46C5-BCF4-FACBFB508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08f4f-9968-44ce-b845-7377af70d01b"/>
    <ds:schemaRef ds:uri="6aec6139-ea97-4427-9a3e-cf9125091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D6C2D-C02E-491F-A014-91450ACB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2020-12-15T22:29:00Z</cp:lastPrinted>
  <dcterms:created xsi:type="dcterms:W3CDTF">2021-01-19T13:16:00Z</dcterms:created>
  <dcterms:modified xsi:type="dcterms:W3CDTF">2021-01-19T13:16:00Z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MSIP_Label_af75612e-792a-4e01-a282-15cf1e626282_Enabled">
    <vt:lpwstr>true</vt:lpwstr>
  </property>
  <property fmtid="{D5CDD505-2E9C-101B-9397-08002B2CF9AE}" pid="10" name="MSIP_Label_af75612e-792a-4e01-a282-15cf1e626282_SetDate">
    <vt:lpwstr>2020-11-27T09:20:41Z</vt:lpwstr>
  </property>
  <property fmtid="{D5CDD505-2E9C-101B-9397-08002B2CF9AE}" pid="11" name="MSIP_Label_af75612e-792a-4e01-a282-15cf1e626282_Method">
    <vt:lpwstr>Standard</vt:lpwstr>
  </property>
  <property fmtid="{D5CDD505-2E9C-101B-9397-08002B2CF9AE}" pid="12" name="MSIP_Label_af75612e-792a-4e01-a282-15cf1e626282_Name">
    <vt:lpwstr>Public</vt:lpwstr>
  </property>
  <property fmtid="{D5CDD505-2E9C-101B-9397-08002B2CF9AE}" pid="13" name="MSIP_Label_af75612e-792a-4e01-a282-15cf1e626282_SiteId">
    <vt:lpwstr>1c5235b3-a463-4a01-96a7-dc2634b2aa74</vt:lpwstr>
  </property>
  <property fmtid="{D5CDD505-2E9C-101B-9397-08002B2CF9AE}" pid="14" name="MSIP_Label_af75612e-792a-4e01-a282-15cf1e626282_ActionId">
    <vt:lpwstr>55980d8c-4b6a-4482-8cca-65e4dfcbccc3</vt:lpwstr>
  </property>
  <property fmtid="{D5CDD505-2E9C-101B-9397-08002B2CF9AE}" pid="15" name="MSIP_Label_af75612e-792a-4e01-a282-15cf1e626282_ContentBits">
    <vt:lpwstr>0</vt:lpwstr>
  </property>
  <property fmtid="{D5CDD505-2E9C-101B-9397-08002B2CF9AE}" pid="16" name="ContentTypeId">
    <vt:lpwstr>0x010100914AFB9A7890C94395E7A7E614756898</vt:lpwstr>
  </property>
</Properties>
</file>