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28" w:rsidRDefault="00654228"/>
    <w:p w:rsidR="00346D84" w:rsidRDefault="00346D84"/>
    <w:p w:rsidR="00346D84" w:rsidRDefault="00346D84" w:rsidP="00346D84">
      <w:pPr>
        <w:spacing w:before="100" w:beforeAutospacing="1" w:after="100" w:afterAutospacing="1"/>
        <w:ind w:left="851" w:hanging="851"/>
        <w:rPr>
          <w:rFonts w:eastAsia="Calibri" w:cs="Arial"/>
          <w:sz w:val="24"/>
          <w:szCs w:val="24"/>
        </w:rPr>
      </w:pPr>
      <w:r>
        <w:rPr>
          <w:rFonts w:eastAsia="Calibri" w:cs="Arial"/>
          <w:b/>
          <w:bCs/>
          <w:sz w:val="24"/>
          <w:szCs w:val="24"/>
        </w:rPr>
        <w:t xml:space="preserve">3008. Ms Z </w:t>
      </w:r>
      <w:proofErr w:type="spellStart"/>
      <w:r>
        <w:rPr>
          <w:rFonts w:eastAsia="Calibri" w:cs="Arial"/>
          <w:b/>
          <w:bCs/>
          <w:sz w:val="24"/>
          <w:szCs w:val="24"/>
        </w:rPr>
        <w:t>Jongbloed</w:t>
      </w:r>
      <w:proofErr w:type="spellEnd"/>
      <w:r>
        <w:rPr>
          <w:rFonts w:eastAsia="Calibri" w:cs="Arial"/>
          <w:b/>
          <w:bCs/>
          <w:sz w:val="24"/>
          <w:szCs w:val="24"/>
        </w:rPr>
        <w:t xml:space="preserve"> (DA) to ask the Minister of Labour:</w:t>
      </w:r>
    </w:p>
    <w:p w:rsidR="00346D84" w:rsidRDefault="00346D84" w:rsidP="00346D84">
      <w:pPr>
        <w:spacing w:before="100" w:beforeAutospacing="1" w:after="100" w:afterAutospacing="1"/>
        <w:ind w:left="567" w:hanging="567"/>
        <w:jc w:val="both"/>
        <w:rPr>
          <w:rFonts w:eastAsia="Calibri" w:cs="Arial"/>
          <w:sz w:val="24"/>
          <w:szCs w:val="24"/>
        </w:rPr>
      </w:pPr>
      <w:r>
        <w:rPr>
          <w:rFonts w:eastAsia="Calibri" w:cs="Arial"/>
          <w:sz w:val="24"/>
          <w:szCs w:val="24"/>
        </w:rPr>
        <w:t>(1)     What is the :</w:t>
      </w:r>
    </w:p>
    <w:p w:rsidR="00346D84" w:rsidRDefault="00346D84" w:rsidP="00346D84">
      <w:pPr>
        <w:spacing w:before="100" w:beforeAutospacing="1" w:after="100" w:afterAutospacing="1"/>
        <w:ind w:left="1134" w:hanging="567"/>
        <w:jc w:val="both"/>
        <w:rPr>
          <w:rFonts w:eastAsia="Calibri" w:cs="Arial"/>
          <w:sz w:val="24"/>
          <w:szCs w:val="24"/>
        </w:rPr>
      </w:pPr>
      <w:r>
        <w:rPr>
          <w:rFonts w:eastAsia="Calibri" w:cs="Arial"/>
          <w:sz w:val="24"/>
          <w:szCs w:val="24"/>
        </w:rPr>
        <w:t xml:space="preserve">(a) </w:t>
      </w:r>
      <w:r>
        <w:rPr>
          <w:rFonts w:eastAsia="Calibri" w:cs="Arial"/>
          <w:sz w:val="24"/>
          <w:szCs w:val="24"/>
        </w:rPr>
        <w:tab/>
        <w:t xml:space="preserve">Total amount that was paid out in bonuses to employees in her department; and </w:t>
      </w:r>
    </w:p>
    <w:p w:rsidR="00346D84" w:rsidRDefault="00346D84" w:rsidP="00346D84">
      <w:pPr>
        <w:spacing w:before="100" w:beforeAutospacing="1" w:after="100" w:afterAutospacing="1"/>
        <w:ind w:left="1134" w:hanging="567"/>
        <w:jc w:val="both"/>
        <w:rPr>
          <w:rFonts w:eastAsia="Calibri" w:cs="Arial"/>
          <w:sz w:val="24"/>
          <w:szCs w:val="24"/>
        </w:rPr>
      </w:pPr>
      <w:r>
        <w:rPr>
          <w:rFonts w:eastAsia="Calibri" w:cs="Arial"/>
          <w:sz w:val="24"/>
          <w:szCs w:val="24"/>
        </w:rPr>
        <w:t xml:space="preserve">(b) </w:t>
      </w:r>
      <w:r>
        <w:rPr>
          <w:rFonts w:eastAsia="Calibri" w:cs="Arial"/>
          <w:sz w:val="24"/>
          <w:szCs w:val="24"/>
        </w:rPr>
        <w:tab/>
        <w:t>Detailed breakdown of the bonus that was paid out to each employee in each salary level in the 2016-17 financial year;</w:t>
      </w:r>
    </w:p>
    <w:p w:rsidR="00346D84" w:rsidRDefault="00346D84" w:rsidP="00346D84">
      <w:pPr>
        <w:spacing w:before="100" w:beforeAutospacing="1" w:after="100" w:afterAutospacing="1"/>
        <w:jc w:val="both"/>
        <w:rPr>
          <w:rFonts w:eastAsia="Calibri" w:cs="Arial"/>
          <w:b/>
          <w:sz w:val="24"/>
          <w:szCs w:val="24"/>
          <w:u w:val="single"/>
        </w:rPr>
      </w:pPr>
      <w:r>
        <w:rPr>
          <w:rFonts w:eastAsia="Calibri" w:cs="Arial"/>
          <w:b/>
          <w:sz w:val="24"/>
          <w:szCs w:val="24"/>
          <w:u w:val="single"/>
        </w:rPr>
        <w:t>RESPONSE</w:t>
      </w:r>
    </w:p>
    <w:p w:rsidR="00346D84" w:rsidRDefault="00346D84" w:rsidP="00346D84">
      <w:pPr>
        <w:pStyle w:val="ListParagraph"/>
        <w:numPr>
          <w:ilvl w:val="0"/>
          <w:numId w:val="1"/>
        </w:numPr>
        <w:spacing w:before="100" w:beforeAutospacing="1" w:after="100" w:afterAutospacing="1" w:line="276" w:lineRule="auto"/>
        <w:ind w:left="567" w:hanging="567"/>
        <w:jc w:val="both"/>
        <w:rPr>
          <w:rFonts w:cs="Arial"/>
        </w:rPr>
      </w:pPr>
      <w:r>
        <w:rPr>
          <w:rFonts w:cs="Arial"/>
        </w:rPr>
        <w:t>(a)      None</w:t>
      </w:r>
    </w:p>
    <w:p w:rsidR="00346D84" w:rsidRDefault="00346D84" w:rsidP="00346D84">
      <w:pPr>
        <w:pStyle w:val="ListParagraph"/>
        <w:spacing w:before="100" w:beforeAutospacing="1" w:after="100" w:afterAutospacing="1"/>
        <w:ind w:left="1171"/>
        <w:jc w:val="both"/>
        <w:rPr>
          <w:rFonts w:cs="Arial"/>
        </w:rPr>
      </w:pPr>
    </w:p>
    <w:p w:rsidR="00346D84" w:rsidRDefault="00346D84" w:rsidP="00346D84">
      <w:pPr>
        <w:pStyle w:val="ListParagraph"/>
        <w:spacing w:before="100" w:beforeAutospacing="1" w:after="100" w:afterAutospacing="1"/>
        <w:ind w:left="1134" w:hanging="567"/>
        <w:jc w:val="both"/>
        <w:rPr>
          <w:rFonts w:cs="Arial"/>
        </w:rPr>
      </w:pPr>
      <w:r>
        <w:rPr>
          <w:rFonts w:cs="Arial"/>
        </w:rPr>
        <w:t xml:space="preserve"> (b) </w:t>
      </w:r>
      <w:r>
        <w:rPr>
          <w:rFonts w:cs="Arial"/>
        </w:rPr>
        <w:tab/>
        <w:t>N/A</w:t>
      </w:r>
    </w:p>
    <w:p w:rsidR="00346D84" w:rsidRDefault="00346D84" w:rsidP="00346D84">
      <w:pPr>
        <w:pStyle w:val="ListParagraph"/>
        <w:spacing w:before="100" w:beforeAutospacing="1" w:after="100" w:afterAutospacing="1"/>
        <w:ind w:left="1171"/>
        <w:jc w:val="both"/>
        <w:rPr>
          <w:rFonts w:cs="Arial"/>
        </w:rPr>
      </w:pPr>
    </w:p>
    <w:p w:rsidR="00346D84" w:rsidRDefault="00346D84" w:rsidP="00346D84">
      <w:pPr>
        <w:spacing w:before="100" w:beforeAutospacing="1" w:after="100" w:afterAutospacing="1"/>
        <w:jc w:val="both"/>
        <w:rPr>
          <w:rFonts w:cs="Arial"/>
          <w:b/>
          <w:sz w:val="24"/>
          <w:szCs w:val="24"/>
          <w:u w:val="single"/>
        </w:rPr>
      </w:pPr>
      <w:r>
        <w:rPr>
          <w:rFonts w:cs="Arial"/>
          <w:b/>
          <w:sz w:val="24"/>
          <w:szCs w:val="24"/>
          <w:u w:val="single"/>
        </w:rPr>
        <w:t>QUESTION</w:t>
      </w:r>
    </w:p>
    <w:p w:rsidR="00346D84" w:rsidRDefault="00346D84" w:rsidP="00346D84">
      <w:pPr>
        <w:pStyle w:val="Default"/>
        <w:numPr>
          <w:ilvl w:val="0"/>
          <w:numId w:val="1"/>
        </w:numPr>
        <w:ind w:left="567" w:hanging="567"/>
        <w:rPr>
          <w:rFonts w:asciiTheme="minorHAnsi" w:hAnsiTheme="minorHAnsi" w:cs="Arial"/>
          <w:color w:val="auto"/>
          <w:lang w:val="en-ZA"/>
        </w:rPr>
      </w:pPr>
      <w:r>
        <w:rPr>
          <w:rFonts w:asciiTheme="minorHAnsi" w:hAnsiTheme="minorHAnsi" w:cs="Arial"/>
          <w:color w:val="auto"/>
          <w:lang w:val="en-ZA"/>
        </w:rPr>
        <w:t>What is the:</w:t>
      </w:r>
    </w:p>
    <w:p w:rsidR="00346D84" w:rsidRDefault="00346D84" w:rsidP="00346D84">
      <w:pPr>
        <w:pStyle w:val="Default"/>
        <w:ind w:left="567"/>
        <w:rPr>
          <w:rFonts w:asciiTheme="minorHAnsi" w:hAnsiTheme="minorHAnsi" w:cs="Arial"/>
          <w:color w:val="auto"/>
          <w:lang w:val="en-ZA"/>
        </w:rPr>
      </w:pPr>
    </w:p>
    <w:p w:rsidR="00346D84" w:rsidRDefault="00346D84" w:rsidP="00581902">
      <w:pPr>
        <w:pStyle w:val="Default"/>
        <w:numPr>
          <w:ilvl w:val="0"/>
          <w:numId w:val="2"/>
        </w:numPr>
        <w:jc w:val="both"/>
        <w:rPr>
          <w:rFonts w:asciiTheme="minorHAnsi" w:hAnsiTheme="minorHAnsi" w:cs="Arial"/>
          <w:color w:val="auto"/>
          <w:lang w:val="en-ZA"/>
        </w:rPr>
      </w:pPr>
      <w:r>
        <w:rPr>
          <w:rFonts w:asciiTheme="minorHAnsi" w:hAnsiTheme="minorHAnsi" w:cs="Arial"/>
          <w:color w:val="auto"/>
          <w:lang w:val="en-ZA"/>
        </w:rPr>
        <w:t>Total estimated amount that will be paid out in bonuses to employees in her department and (b) detailed breakdown of the bonus that will be paid out to each employee in each salary level in the 2017-18 financial year?</w:t>
      </w:r>
    </w:p>
    <w:p w:rsidR="00581902" w:rsidRDefault="00581902" w:rsidP="00581902">
      <w:pPr>
        <w:pStyle w:val="Default"/>
        <w:ind w:left="7200"/>
        <w:jc w:val="both"/>
        <w:rPr>
          <w:rFonts w:asciiTheme="minorHAnsi" w:hAnsiTheme="minorHAnsi" w:cs="Arial"/>
          <w:color w:val="auto"/>
          <w:lang w:val="en-ZA"/>
        </w:rPr>
      </w:pPr>
      <w:r>
        <w:rPr>
          <w:rFonts w:asciiTheme="minorHAnsi" w:hAnsiTheme="minorHAnsi" w:cs="Arial"/>
          <w:color w:val="auto"/>
          <w:lang w:val="en-ZA"/>
        </w:rPr>
        <w:t>NW 3327E</w:t>
      </w:r>
      <w:bookmarkStart w:id="0" w:name="_GoBack"/>
      <w:bookmarkEnd w:id="0"/>
    </w:p>
    <w:p w:rsidR="00346D84" w:rsidRDefault="00346D84" w:rsidP="00346D84">
      <w:pPr>
        <w:pStyle w:val="Default"/>
        <w:rPr>
          <w:rFonts w:asciiTheme="minorHAnsi" w:hAnsiTheme="minorHAnsi" w:cs="Arial"/>
          <w:color w:val="auto"/>
          <w:lang w:val="en-ZA"/>
        </w:rPr>
      </w:pPr>
    </w:p>
    <w:p w:rsidR="00346D84" w:rsidRDefault="00346D84" w:rsidP="00346D84">
      <w:pPr>
        <w:pStyle w:val="Default"/>
        <w:ind w:left="720" w:hanging="720"/>
        <w:rPr>
          <w:rFonts w:asciiTheme="minorHAnsi" w:hAnsiTheme="minorHAnsi" w:cs="Arial"/>
          <w:b/>
          <w:color w:val="auto"/>
          <w:u w:val="single"/>
          <w:lang w:val="en-ZA"/>
        </w:rPr>
      </w:pPr>
      <w:r>
        <w:rPr>
          <w:rFonts w:asciiTheme="minorHAnsi" w:hAnsiTheme="minorHAnsi" w:cs="Arial"/>
          <w:b/>
          <w:color w:val="auto"/>
          <w:u w:val="single"/>
          <w:lang w:val="en-ZA"/>
        </w:rPr>
        <w:t>RESPONSE</w:t>
      </w:r>
    </w:p>
    <w:p w:rsidR="00346D84" w:rsidRDefault="00346D84" w:rsidP="00346D84">
      <w:pPr>
        <w:pStyle w:val="Default"/>
        <w:ind w:left="720"/>
        <w:rPr>
          <w:rFonts w:asciiTheme="minorHAnsi" w:hAnsiTheme="minorHAnsi" w:cs="Arial"/>
          <w:b/>
          <w:color w:val="auto"/>
          <w:u w:val="single"/>
          <w:lang w:val="en-ZA"/>
        </w:rPr>
      </w:pPr>
    </w:p>
    <w:p w:rsidR="00346D84" w:rsidRDefault="00346D84" w:rsidP="00346D84">
      <w:pPr>
        <w:pStyle w:val="Default"/>
        <w:ind w:left="567" w:hanging="567"/>
        <w:jc w:val="both"/>
        <w:rPr>
          <w:rFonts w:asciiTheme="minorHAnsi" w:hAnsiTheme="minorHAnsi" w:cs="Arial"/>
          <w:color w:val="auto"/>
          <w:lang w:val="en-ZA"/>
        </w:rPr>
      </w:pPr>
      <w:r>
        <w:rPr>
          <w:rFonts w:asciiTheme="minorHAnsi" w:hAnsiTheme="minorHAnsi" w:cs="Arial"/>
          <w:color w:val="auto"/>
          <w:lang w:val="en-ZA"/>
        </w:rPr>
        <w:t xml:space="preserve">(2) </w:t>
      </w:r>
      <w:r>
        <w:rPr>
          <w:rFonts w:asciiTheme="minorHAnsi" w:hAnsiTheme="minorHAnsi" w:cs="Arial"/>
          <w:color w:val="auto"/>
          <w:lang w:val="en-ZA"/>
        </w:rPr>
        <w:tab/>
        <w:t xml:space="preserve">(a)  it will be 1.5% of the compensation budget. </w:t>
      </w:r>
    </w:p>
    <w:p w:rsidR="00346D84" w:rsidRDefault="00346D84" w:rsidP="00346D84">
      <w:pPr>
        <w:pStyle w:val="Default"/>
        <w:ind w:left="720"/>
        <w:rPr>
          <w:rFonts w:asciiTheme="minorHAnsi" w:hAnsiTheme="minorHAnsi" w:cs="Arial"/>
          <w:color w:val="auto"/>
          <w:lang w:val="en-ZA"/>
        </w:rPr>
      </w:pPr>
      <w:r>
        <w:rPr>
          <w:rFonts w:asciiTheme="minorHAnsi" w:hAnsiTheme="minorHAnsi" w:cs="Arial"/>
          <w:color w:val="auto"/>
          <w:lang w:val="en-ZA"/>
        </w:rPr>
        <w:t xml:space="preserve">    </w:t>
      </w:r>
    </w:p>
    <w:p w:rsidR="00346D84" w:rsidRDefault="00346D84" w:rsidP="00346D84">
      <w:pPr>
        <w:pStyle w:val="Default"/>
        <w:ind w:left="1134" w:hanging="567"/>
        <w:jc w:val="both"/>
        <w:rPr>
          <w:rFonts w:asciiTheme="minorHAnsi" w:hAnsiTheme="minorHAnsi" w:cs="Arial"/>
        </w:rPr>
      </w:pPr>
      <w:r>
        <w:rPr>
          <w:rFonts w:asciiTheme="minorHAnsi" w:hAnsiTheme="minorHAnsi" w:cs="Arial"/>
          <w:color w:val="auto"/>
          <w:lang w:val="en-ZA"/>
        </w:rPr>
        <w:t xml:space="preserve">(b) </w:t>
      </w:r>
      <w:r>
        <w:rPr>
          <w:rFonts w:asciiTheme="minorHAnsi" w:hAnsiTheme="minorHAnsi" w:cs="Arial"/>
          <w:color w:val="auto"/>
          <w:lang w:val="en-ZA"/>
        </w:rPr>
        <w:tab/>
        <w:t>The breakdown on the performance bonuses can only be provided once the          assessment reports for the performance cycle 2017/2018 are finalised and paid.</w:t>
      </w:r>
    </w:p>
    <w:p w:rsidR="00346D84" w:rsidRDefault="00346D84" w:rsidP="00346D84">
      <w:pPr>
        <w:shd w:val="clear" w:color="auto" w:fill="FFFFFF" w:themeFill="background1"/>
        <w:spacing w:after="0" w:line="240" w:lineRule="auto"/>
        <w:ind w:left="567" w:hanging="567"/>
        <w:rPr>
          <w:rFonts w:eastAsia="Times New Roman" w:cs="Times New Roman"/>
          <w:b/>
          <w:sz w:val="24"/>
          <w:szCs w:val="24"/>
        </w:rPr>
      </w:pPr>
    </w:p>
    <w:p w:rsidR="00346D84" w:rsidRDefault="00346D84"/>
    <w:sectPr w:rsidR="00346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9B4"/>
    <w:multiLevelType w:val="hybridMultilevel"/>
    <w:tmpl w:val="E0FCA7AA"/>
    <w:lvl w:ilvl="0" w:tplc="CBD2D7AE">
      <w:start w:val="1"/>
      <w:numFmt w:val="decimal"/>
      <w:lvlText w:val="(%1)"/>
      <w:lvlJc w:val="left"/>
      <w:pPr>
        <w:ind w:left="1171" w:hanging="360"/>
      </w:pPr>
    </w:lvl>
    <w:lvl w:ilvl="1" w:tplc="1C090019">
      <w:start w:val="1"/>
      <w:numFmt w:val="lowerLetter"/>
      <w:lvlText w:val="%2."/>
      <w:lvlJc w:val="left"/>
      <w:pPr>
        <w:ind w:left="1891" w:hanging="360"/>
      </w:pPr>
    </w:lvl>
    <w:lvl w:ilvl="2" w:tplc="1C09001B">
      <w:start w:val="1"/>
      <w:numFmt w:val="lowerRoman"/>
      <w:lvlText w:val="%3."/>
      <w:lvlJc w:val="right"/>
      <w:pPr>
        <w:ind w:left="2611" w:hanging="180"/>
      </w:pPr>
    </w:lvl>
    <w:lvl w:ilvl="3" w:tplc="1C09000F">
      <w:start w:val="1"/>
      <w:numFmt w:val="decimal"/>
      <w:lvlText w:val="%4."/>
      <w:lvlJc w:val="left"/>
      <w:pPr>
        <w:ind w:left="3331" w:hanging="360"/>
      </w:pPr>
    </w:lvl>
    <w:lvl w:ilvl="4" w:tplc="1C090019">
      <w:start w:val="1"/>
      <w:numFmt w:val="lowerLetter"/>
      <w:lvlText w:val="%5."/>
      <w:lvlJc w:val="left"/>
      <w:pPr>
        <w:ind w:left="4051" w:hanging="360"/>
      </w:pPr>
    </w:lvl>
    <w:lvl w:ilvl="5" w:tplc="1C09001B">
      <w:start w:val="1"/>
      <w:numFmt w:val="lowerRoman"/>
      <w:lvlText w:val="%6."/>
      <w:lvlJc w:val="right"/>
      <w:pPr>
        <w:ind w:left="4771" w:hanging="180"/>
      </w:pPr>
    </w:lvl>
    <w:lvl w:ilvl="6" w:tplc="1C09000F">
      <w:start w:val="1"/>
      <w:numFmt w:val="decimal"/>
      <w:lvlText w:val="%7."/>
      <w:lvlJc w:val="left"/>
      <w:pPr>
        <w:ind w:left="5491" w:hanging="360"/>
      </w:pPr>
    </w:lvl>
    <w:lvl w:ilvl="7" w:tplc="1C090019">
      <w:start w:val="1"/>
      <w:numFmt w:val="lowerLetter"/>
      <w:lvlText w:val="%8."/>
      <w:lvlJc w:val="left"/>
      <w:pPr>
        <w:ind w:left="6211" w:hanging="360"/>
      </w:pPr>
    </w:lvl>
    <w:lvl w:ilvl="8" w:tplc="1C09001B">
      <w:start w:val="1"/>
      <w:numFmt w:val="lowerRoman"/>
      <w:lvlText w:val="%9."/>
      <w:lvlJc w:val="right"/>
      <w:pPr>
        <w:ind w:left="6931" w:hanging="180"/>
      </w:pPr>
    </w:lvl>
  </w:abstractNum>
  <w:abstractNum w:abstractNumId="1">
    <w:nsid w:val="6A4F29B1"/>
    <w:multiLevelType w:val="hybridMultilevel"/>
    <w:tmpl w:val="ED88162A"/>
    <w:lvl w:ilvl="0" w:tplc="2E6E7D5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84"/>
    <w:rsid w:val="00346D84"/>
    <w:rsid w:val="00581902"/>
    <w:rsid w:val="00654228"/>
    <w:rsid w:val="00A958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46D84"/>
    <w:rPr>
      <w:rFonts w:ascii="Times New Roman" w:eastAsiaTheme="minorEastAsia" w:hAnsi="Times New Roman" w:cs="Times New Roman"/>
      <w:sz w:val="24"/>
      <w:szCs w:val="24"/>
      <w:lang w:val="en-US" w:eastAsia="zh-CN"/>
    </w:rPr>
  </w:style>
  <w:style w:type="paragraph" w:styleId="ListParagraph">
    <w:name w:val="List Paragraph"/>
    <w:basedOn w:val="Normal"/>
    <w:link w:val="ListParagraphChar"/>
    <w:uiPriority w:val="34"/>
    <w:qFormat/>
    <w:rsid w:val="00346D84"/>
    <w:pPr>
      <w:spacing w:after="0" w:line="240" w:lineRule="auto"/>
      <w:ind w:left="720"/>
      <w:contextualSpacing/>
    </w:pPr>
    <w:rPr>
      <w:rFonts w:ascii="Times New Roman" w:eastAsiaTheme="minorEastAsia" w:hAnsi="Times New Roman" w:cs="Times New Roman"/>
      <w:sz w:val="24"/>
      <w:szCs w:val="24"/>
      <w:lang w:val="en-US" w:eastAsia="zh-CN"/>
    </w:rPr>
  </w:style>
  <w:style w:type="paragraph" w:customStyle="1" w:styleId="Default">
    <w:name w:val="Default"/>
    <w:basedOn w:val="Normal"/>
    <w:rsid w:val="00346D84"/>
    <w:pPr>
      <w:autoSpaceDE w:val="0"/>
      <w:autoSpaceDN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46D84"/>
    <w:rPr>
      <w:rFonts w:ascii="Times New Roman" w:eastAsiaTheme="minorEastAsia" w:hAnsi="Times New Roman" w:cs="Times New Roman"/>
      <w:sz w:val="24"/>
      <w:szCs w:val="24"/>
      <w:lang w:val="en-US" w:eastAsia="zh-CN"/>
    </w:rPr>
  </w:style>
  <w:style w:type="paragraph" w:styleId="ListParagraph">
    <w:name w:val="List Paragraph"/>
    <w:basedOn w:val="Normal"/>
    <w:link w:val="ListParagraphChar"/>
    <w:uiPriority w:val="34"/>
    <w:qFormat/>
    <w:rsid w:val="00346D84"/>
    <w:pPr>
      <w:spacing w:after="0" w:line="240" w:lineRule="auto"/>
      <w:ind w:left="720"/>
      <w:contextualSpacing/>
    </w:pPr>
    <w:rPr>
      <w:rFonts w:ascii="Times New Roman" w:eastAsiaTheme="minorEastAsia" w:hAnsi="Times New Roman" w:cs="Times New Roman"/>
      <w:sz w:val="24"/>
      <w:szCs w:val="24"/>
      <w:lang w:val="en-US" w:eastAsia="zh-CN"/>
    </w:rPr>
  </w:style>
  <w:style w:type="paragraph" w:customStyle="1" w:styleId="Default">
    <w:name w:val="Default"/>
    <w:basedOn w:val="Normal"/>
    <w:rsid w:val="00346D84"/>
    <w:pPr>
      <w:autoSpaceDE w:val="0"/>
      <w:autoSpaceDN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Welile Dlwengu</dc:creator>
  <cp:lastModifiedBy>Gregory Schneeman (HQ)</cp:lastModifiedBy>
  <cp:revision>3</cp:revision>
  <dcterms:created xsi:type="dcterms:W3CDTF">2017-10-23T09:44:00Z</dcterms:created>
  <dcterms:modified xsi:type="dcterms:W3CDTF">2017-10-23T09:51:00Z</dcterms:modified>
</cp:coreProperties>
</file>