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88" w:rsidRPr="00C74E88" w:rsidRDefault="00C74E88" w:rsidP="00C74E88">
      <w:pPr>
        <w:jc w:val="both"/>
        <w:rPr>
          <w:rFonts w:ascii="Arial" w:hAnsi="Arial" w:cs="Arial"/>
          <w:shadow/>
          <w:sz w:val="20"/>
          <w:szCs w:val="20"/>
        </w:rPr>
      </w:pPr>
      <w:r w:rsidRPr="00C74E88">
        <w:rPr>
          <w:rFonts w:ascii="Arial" w:hAnsi="Arial" w:cs="Arial"/>
          <w:shadow/>
          <w:sz w:val="20"/>
          <w:szCs w:val="20"/>
        </w:rPr>
        <w:t xml:space="preserve">Telephone </w:t>
      </w:r>
      <w:r w:rsidRPr="00C74E88">
        <w:rPr>
          <w:rFonts w:ascii="Arial" w:hAnsi="Arial" w:cs="Arial"/>
          <w:shadow/>
          <w:sz w:val="20"/>
          <w:szCs w:val="20"/>
        </w:rPr>
        <w:tab/>
        <w:t>: (012) 355-5216</w:t>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b/>
          <w:bCs/>
          <w:shadow/>
          <w:sz w:val="20"/>
          <w:szCs w:val="20"/>
        </w:rPr>
        <w:t>AC5/19A</w:t>
      </w:r>
    </w:p>
    <w:p w:rsidR="00C74E88" w:rsidRPr="00C74E88" w:rsidRDefault="00C74E88" w:rsidP="00C74E88">
      <w:pPr>
        <w:pStyle w:val="Header"/>
        <w:tabs>
          <w:tab w:val="clear" w:pos="4320"/>
          <w:tab w:val="clear" w:pos="8640"/>
        </w:tabs>
        <w:jc w:val="both"/>
        <w:rPr>
          <w:rFonts w:ascii="Arial" w:hAnsi="Arial" w:cs="Arial"/>
          <w:shadow/>
          <w:sz w:val="20"/>
          <w:szCs w:val="20"/>
        </w:rPr>
      </w:pPr>
      <w:r w:rsidRPr="00C74E88">
        <w:rPr>
          <w:rFonts w:ascii="Arial" w:hAnsi="Arial" w:cs="Arial"/>
          <w:shadow/>
          <w:sz w:val="20"/>
          <w:szCs w:val="20"/>
        </w:rPr>
        <w:t xml:space="preserve">Facsimile </w:t>
      </w:r>
      <w:r w:rsidRPr="00C74E88">
        <w:rPr>
          <w:rFonts w:ascii="Arial" w:hAnsi="Arial" w:cs="Arial"/>
          <w:shadow/>
          <w:sz w:val="20"/>
          <w:szCs w:val="20"/>
        </w:rPr>
        <w:tab/>
        <w:t>: (012) 355-5926</w:t>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t xml:space="preserve">Conventional Arms Control </w:t>
      </w:r>
    </w:p>
    <w:p w:rsidR="00C74E88" w:rsidRPr="00C74E88" w:rsidRDefault="00C74E88" w:rsidP="00C74E88">
      <w:pPr>
        <w:pStyle w:val="Header"/>
        <w:tabs>
          <w:tab w:val="clear" w:pos="4320"/>
          <w:tab w:val="clear" w:pos="8640"/>
        </w:tabs>
        <w:jc w:val="both"/>
        <w:rPr>
          <w:rFonts w:ascii="Arial" w:hAnsi="Arial" w:cs="Arial"/>
          <w:shadow/>
          <w:sz w:val="20"/>
          <w:szCs w:val="20"/>
        </w:rPr>
      </w:pPr>
      <w:r w:rsidRPr="00C74E88">
        <w:rPr>
          <w:rFonts w:ascii="Arial" w:hAnsi="Arial" w:cs="Arial"/>
          <w:shadow/>
          <w:sz w:val="20"/>
          <w:szCs w:val="20"/>
        </w:rPr>
        <w:t xml:space="preserve">Enquiries </w:t>
      </w:r>
      <w:r w:rsidRPr="00C74E88">
        <w:rPr>
          <w:rFonts w:ascii="Arial" w:hAnsi="Arial" w:cs="Arial"/>
          <w:shadow/>
          <w:sz w:val="20"/>
          <w:szCs w:val="20"/>
        </w:rPr>
        <w:tab/>
        <w:t xml:space="preserve">: Mr S. D. </w:t>
      </w:r>
      <w:proofErr w:type="spellStart"/>
      <w:r w:rsidRPr="00C74E88">
        <w:rPr>
          <w:rFonts w:ascii="Arial" w:hAnsi="Arial" w:cs="Arial"/>
          <w:shadow/>
          <w:sz w:val="20"/>
          <w:szCs w:val="20"/>
        </w:rPr>
        <w:t>Dladla</w:t>
      </w:r>
      <w:proofErr w:type="spellEnd"/>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t xml:space="preserve">Private Bag X910 </w:t>
      </w:r>
    </w:p>
    <w:p w:rsidR="00C74E88" w:rsidRPr="00C74E88" w:rsidRDefault="00C74E88" w:rsidP="00C74E88">
      <w:pPr>
        <w:pStyle w:val="Header"/>
        <w:tabs>
          <w:tab w:val="clear" w:pos="4320"/>
          <w:tab w:val="clear" w:pos="8640"/>
        </w:tabs>
        <w:jc w:val="both"/>
        <w:rPr>
          <w:rFonts w:ascii="Arial" w:hAnsi="Arial" w:cs="Arial"/>
          <w:shadow/>
          <w:sz w:val="20"/>
          <w:szCs w:val="20"/>
        </w:rPr>
      </w:pP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t xml:space="preserve">Pretoria </w:t>
      </w:r>
    </w:p>
    <w:p w:rsidR="00C74E88" w:rsidRPr="00C74E88" w:rsidRDefault="00C74E88" w:rsidP="00C74E88">
      <w:pPr>
        <w:pStyle w:val="Header"/>
        <w:tabs>
          <w:tab w:val="clear" w:pos="4320"/>
          <w:tab w:val="clear" w:pos="8640"/>
        </w:tabs>
        <w:jc w:val="both"/>
        <w:rPr>
          <w:rFonts w:ascii="Arial" w:hAnsi="Arial" w:cs="Arial"/>
          <w:shadow/>
          <w:sz w:val="20"/>
          <w:szCs w:val="20"/>
        </w:rPr>
      </w:pP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t>0001</w:t>
      </w:r>
    </w:p>
    <w:p w:rsidR="00C74E88" w:rsidRPr="00C74E88" w:rsidRDefault="00C74E88" w:rsidP="00C74E88">
      <w:pPr>
        <w:pStyle w:val="Header"/>
        <w:tabs>
          <w:tab w:val="clear" w:pos="4320"/>
          <w:tab w:val="clear" w:pos="8640"/>
        </w:tabs>
        <w:jc w:val="both"/>
        <w:rPr>
          <w:rFonts w:ascii="Arial" w:hAnsi="Arial" w:cs="Arial"/>
          <w:shadow/>
          <w:sz w:val="20"/>
          <w:szCs w:val="20"/>
        </w:rPr>
      </w:pP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r>
      <w:r w:rsidRPr="00C74E88">
        <w:rPr>
          <w:rFonts w:ascii="Arial" w:hAnsi="Arial" w:cs="Arial"/>
          <w:shadow/>
          <w:sz w:val="20"/>
          <w:szCs w:val="20"/>
        </w:rPr>
        <w:tab/>
        <w:t xml:space="preserve">14 November 2013 </w:t>
      </w:r>
    </w:p>
    <w:p w:rsidR="00C74E88" w:rsidRPr="00C74E88" w:rsidRDefault="00C74E88" w:rsidP="00C74E88">
      <w:pPr>
        <w:pStyle w:val="Header"/>
        <w:tabs>
          <w:tab w:val="clear" w:pos="4320"/>
          <w:tab w:val="clear" w:pos="8640"/>
        </w:tabs>
        <w:jc w:val="both"/>
        <w:rPr>
          <w:rFonts w:ascii="Arial" w:hAnsi="Arial" w:cs="Arial"/>
          <w:shadow/>
          <w:sz w:val="20"/>
          <w:szCs w:val="20"/>
        </w:rPr>
      </w:pPr>
    </w:p>
    <w:p w:rsidR="00C74E88" w:rsidRPr="00C74E88" w:rsidRDefault="00C74E88" w:rsidP="00C74E88">
      <w:pPr>
        <w:pStyle w:val="Header"/>
        <w:tabs>
          <w:tab w:val="clear" w:pos="4320"/>
          <w:tab w:val="clear" w:pos="8640"/>
        </w:tabs>
        <w:jc w:val="both"/>
        <w:rPr>
          <w:rFonts w:ascii="Arial" w:hAnsi="Arial" w:cs="Arial"/>
          <w:shadow/>
          <w:sz w:val="20"/>
          <w:szCs w:val="20"/>
        </w:rPr>
      </w:pPr>
    </w:p>
    <w:p w:rsidR="00C74E88" w:rsidRPr="00C74E88" w:rsidRDefault="00C74E88" w:rsidP="00C74E88">
      <w:pPr>
        <w:pStyle w:val="Header"/>
        <w:tabs>
          <w:tab w:val="clear" w:pos="4320"/>
          <w:tab w:val="clear" w:pos="8640"/>
        </w:tabs>
        <w:jc w:val="both"/>
        <w:rPr>
          <w:rFonts w:ascii="Arial" w:hAnsi="Arial" w:cs="Arial"/>
          <w:b/>
          <w:shadow/>
          <w:sz w:val="20"/>
          <w:szCs w:val="20"/>
        </w:rPr>
      </w:pPr>
      <w:r w:rsidRPr="00C74E88">
        <w:rPr>
          <w:rFonts w:ascii="Arial" w:hAnsi="Arial" w:cs="Arial"/>
          <w:b/>
          <w:shadow/>
          <w:sz w:val="20"/>
          <w:szCs w:val="20"/>
        </w:rPr>
        <w:t xml:space="preserve">QUESTION </w:t>
      </w:r>
      <w:r w:rsidRPr="00C74E88">
        <w:rPr>
          <w:rFonts w:ascii="Arial" w:hAnsi="Arial" w:cs="Arial"/>
          <w:b/>
          <w:bCs/>
          <w:shadow/>
          <w:sz w:val="20"/>
          <w:szCs w:val="20"/>
        </w:rPr>
        <w:t>2990</w:t>
      </w:r>
    </w:p>
    <w:p w:rsidR="00C74E88" w:rsidRPr="00C74E88" w:rsidRDefault="00C74E88" w:rsidP="00C74E88">
      <w:pPr>
        <w:pStyle w:val="Header"/>
        <w:tabs>
          <w:tab w:val="clear" w:pos="4320"/>
          <w:tab w:val="clear" w:pos="8640"/>
        </w:tabs>
        <w:jc w:val="both"/>
        <w:rPr>
          <w:rFonts w:ascii="Arial" w:hAnsi="Arial" w:cs="Arial"/>
          <w:shadow/>
          <w:sz w:val="20"/>
          <w:szCs w:val="20"/>
        </w:rPr>
      </w:pPr>
    </w:p>
    <w:p w:rsidR="00C74E88" w:rsidRDefault="00C74E88" w:rsidP="00C74E88">
      <w:pPr>
        <w:pStyle w:val="Header"/>
        <w:numPr>
          <w:ilvl w:val="0"/>
          <w:numId w:val="1"/>
        </w:numPr>
        <w:tabs>
          <w:tab w:val="clear" w:pos="4320"/>
          <w:tab w:val="clear" w:pos="8640"/>
        </w:tabs>
        <w:ind w:left="0" w:firstLine="0"/>
        <w:jc w:val="both"/>
        <w:rPr>
          <w:rFonts w:ascii="Arial" w:hAnsi="Arial" w:cs="Arial"/>
          <w:bCs/>
          <w:shadow/>
          <w:sz w:val="20"/>
          <w:szCs w:val="20"/>
        </w:rPr>
      </w:pPr>
      <w:r w:rsidRPr="00C74E88">
        <w:rPr>
          <w:rFonts w:ascii="Arial" w:hAnsi="Arial" w:cs="Arial"/>
          <w:b/>
          <w:bCs/>
          <w:shadow/>
          <w:sz w:val="20"/>
          <w:szCs w:val="20"/>
        </w:rPr>
        <w:t xml:space="preserve">Mr D J </w:t>
      </w:r>
      <w:proofErr w:type="spellStart"/>
      <w:r w:rsidRPr="00C74E88">
        <w:rPr>
          <w:rFonts w:ascii="Arial" w:hAnsi="Arial" w:cs="Arial"/>
          <w:b/>
          <w:bCs/>
          <w:shadow/>
          <w:sz w:val="20"/>
          <w:szCs w:val="20"/>
        </w:rPr>
        <w:t>Maynier</w:t>
      </w:r>
      <w:proofErr w:type="spellEnd"/>
      <w:r w:rsidRPr="00C74E88">
        <w:rPr>
          <w:rFonts w:ascii="Arial" w:hAnsi="Arial" w:cs="Arial"/>
          <w:b/>
          <w:bCs/>
          <w:shadow/>
          <w:sz w:val="20"/>
          <w:szCs w:val="20"/>
        </w:rPr>
        <w:t xml:space="preserve"> (DA) to ask the Minister of Justice and Constitutional Development</w:t>
      </w:r>
      <w:r w:rsidRPr="00C74E88">
        <w:rPr>
          <w:rFonts w:ascii="Arial" w:hAnsi="Arial" w:cs="Arial"/>
          <w:bCs/>
          <w:shadow/>
          <w:sz w:val="20"/>
          <w:szCs w:val="20"/>
        </w:rPr>
        <w:t>:</w:t>
      </w:r>
    </w:p>
    <w:p w:rsidR="00F969E6" w:rsidRPr="00C74E88" w:rsidRDefault="00F969E6" w:rsidP="00F969E6">
      <w:pPr>
        <w:pStyle w:val="Header"/>
        <w:tabs>
          <w:tab w:val="clear" w:pos="4320"/>
          <w:tab w:val="clear" w:pos="8640"/>
        </w:tabs>
        <w:jc w:val="both"/>
        <w:rPr>
          <w:rFonts w:ascii="Arial" w:hAnsi="Arial" w:cs="Arial"/>
          <w:bCs/>
          <w:shadow/>
          <w:sz w:val="20"/>
          <w:szCs w:val="20"/>
        </w:rPr>
      </w:pPr>
    </w:p>
    <w:p w:rsidR="00C74E88" w:rsidRPr="00C74E88" w:rsidRDefault="00C74E88" w:rsidP="00C74E88">
      <w:pPr>
        <w:ind w:left="1440" w:hanging="720"/>
        <w:jc w:val="both"/>
        <w:rPr>
          <w:rFonts w:ascii="Arial" w:hAnsi="Arial" w:cs="Arial"/>
          <w:shadow/>
          <w:sz w:val="20"/>
          <w:szCs w:val="20"/>
        </w:rPr>
      </w:pPr>
      <w:r w:rsidRPr="00C74E88">
        <w:rPr>
          <w:rFonts w:ascii="Arial" w:hAnsi="Arial" w:cs="Arial"/>
          <w:shadow/>
          <w:sz w:val="20"/>
          <w:szCs w:val="20"/>
        </w:rPr>
        <w:t xml:space="preserve"> (1)</w:t>
      </w:r>
      <w:r w:rsidRPr="00C74E88">
        <w:rPr>
          <w:rFonts w:ascii="Arial" w:hAnsi="Arial" w:cs="Arial"/>
          <w:shadow/>
          <w:sz w:val="20"/>
          <w:szCs w:val="20"/>
        </w:rPr>
        <w:tab/>
        <w:t>Since 20 May 1998 (a) which (</w:t>
      </w:r>
      <w:proofErr w:type="spellStart"/>
      <w:r w:rsidRPr="00C74E88">
        <w:rPr>
          <w:rFonts w:ascii="Arial" w:hAnsi="Arial" w:cs="Arial"/>
          <w:shadow/>
          <w:sz w:val="20"/>
          <w:szCs w:val="20"/>
        </w:rPr>
        <w:t>i</w:t>
      </w:r>
      <w:proofErr w:type="spellEnd"/>
      <w:r w:rsidRPr="00C74E88">
        <w:rPr>
          <w:rFonts w:ascii="Arial" w:hAnsi="Arial" w:cs="Arial"/>
          <w:shadow/>
          <w:sz w:val="20"/>
          <w:szCs w:val="20"/>
        </w:rPr>
        <w:t xml:space="preserve">) persons and/or (ii) companies have been given </w:t>
      </w:r>
      <w:proofErr w:type="spellStart"/>
      <w:r w:rsidRPr="00C74E88">
        <w:rPr>
          <w:rFonts w:ascii="Arial" w:hAnsi="Arial" w:cs="Arial"/>
          <w:shadow/>
          <w:sz w:val="20"/>
          <w:szCs w:val="20"/>
        </w:rPr>
        <w:t>authorisation</w:t>
      </w:r>
      <w:proofErr w:type="spellEnd"/>
      <w:r w:rsidRPr="00C74E88">
        <w:rPr>
          <w:rFonts w:ascii="Arial" w:hAnsi="Arial" w:cs="Arial"/>
          <w:shadow/>
          <w:sz w:val="20"/>
          <w:szCs w:val="20"/>
        </w:rPr>
        <w:t xml:space="preserve"> to render foreign military assistance in terms of the </w:t>
      </w:r>
      <w:r w:rsidRPr="00C74E88">
        <w:rPr>
          <w:rFonts w:ascii="Arial" w:hAnsi="Arial" w:cs="Arial"/>
          <w:shadow/>
          <w:sz w:val="20"/>
          <w:szCs w:val="20"/>
          <w:lang w:val="en-ZA"/>
        </w:rPr>
        <w:t>Regulation</w:t>
      </w:r>
      <w:r w:rsidRPr="00C74E88">
        <w:rPr>
          <w:rFonts w:ascii="Arial" w:hAnsi="Arial" w:cs="Arial"/>
          <w:shadow/>
          <w:sz w:val="20"/>
          <w:szCs w:val="20"/>
        </w:rPr>
        <w:t xml:space="preserve"> of Foreign Military Assistance Act, Act 15 of 1998, (b) to which country was each approved application to give foreign military assistance made and (c) when (</w:t>
      </w:r>
      <w:proofErr w:type="spellStart"/>
      <w:r w:rsidRPr="00C74E88">
        <w:rPr>
          <w:rFonts w:ascii="Arial" w:hAnsi="Arial" w:cs="Arial"/>
          <w:shadow/>
          <w:sz w:val="20"/>
          <w:szCs w:val="20"/>
        </w:rPr>
        <w:t>i</w:t>
      </w:r>
      <w:proofErr w:type="spellEnd"/>
      <w:r w:rsidRPr="00C74E88">
        <w:rPr>
          <w:rFonts w:ascii="Arial" w:hAnsi="Arial" w:cs="Arial"/>
          <w:shadow/>
          <w:sz w:val="20"/>
          <w:szCs w:val="20"/>
        </w:rPr>
        <w:t xml:space="preserve">) was each application approved and (ii) does each </w:t>
      </w:r>
      <w:proofErr w:type="spellStart"/>
      <w:r w:rsidRPr="00C74E88">
        <w:rPr>
          <w:rFonts w:ascii="Arial" w:hAnsi="Arial" w:cs="Arial"/>
          <w:shadow/>
          <w:sz w:val="20"/>
          <w:szCs w:val="20"/>
        </w:rPr>
        <w:t>authorisation</w:t>
      </w:r>
      <w:proofErr w:type="spellEnd"/>
      <w:r w:rsidRPr="00C74E88">
        <w:rPr>
          <w:rFonts w:ascii="Arial" w:hAnsi="Arial" w:cs="Arial"/>
          <w:shadow/>
          <w:sz w:val="20"/>
          <w:szCs w:val="20"/>
        </w:rPr>
        <w:t xml:space="preserve"> expire;</w:t>
      </w:r>
    </w:p>
    <w:p w:rsidR="00C74E88" w:rsidRPr="00C74E88" w:rsidRDefault="00C74E88" w:rsidP="00C74E88">
      <w:pPr>
        <w:ind w:left="1440" w:hanging="720"/>
        <w:jc w:val="both"/>
        <w:rPr>
          <w:rFonts w:ascii="Arial" w:hAnsi="Arial" w:cs="Arial"/>
          <w:shadow/>
          <w:sz w:val="20"/>
          <w:szCs w:val="20"/>
        </w:rPr>
      </w:pPr>
      <w:r w:rsidRPr="00C74E88">
        <w:rPr>
          <w:rFonts w:ascii="Arial" w:hAnsi="Arial" w:cs="Arial"/>
          <w:shadow/>
          <w:sz w:val="20"/>
          <w:szCs w:val="20"/>
        </w:rPr>
        <w:t>(2)</w:t>
      </w:r>
      <w:r w:rsidRPr="00C74E88">
        <w:rPr>
          <w:rFonts w:ascii="Arial" w:hAnsi="Arial" w:cs="Arial"/>
          <w:shadow/>
          <w:sz w:val="20"/>
          <w:szCs w:val="20"/>
        </w:rPr>
        <w:tab/>
        <w:t>since 20 May 1998 (a) which (</w:t>
      </w:r>
      <w:proofErr w:type="spellStart"/>
      <w:r w:rsidRPr="00C74E88">
        <w:rPr>
          <w:rFonts w:ascii="Arial" w:hAnsi="Arial" w:cs="Arial"/>
          <w:shadow/>
          <w:sz w:val="20"/>
          <w:szCs w:val="20"/>
        </w:rPr>
        <w:t>i</w:t>
      </w:r>
      <w:proofErr w:type="spellEnd"/>
      <w:r w:rsidRPr="00C74E88">
        <w:rPr>
          <w:rFonts w:ascii="Arial" w:hAnsi="Arial" w:cs="Arial"/>
          <w:shadow/>
          <w:sz w:val="20"/>
          <w:szCs w:val="20"/>
        </w:rPr>
        <w:t xml:space="preserve">) persons and/or (ii) companies have been refused </w:t>
      </w:r>
      <w:proofErr w:type="spellStart"/>
      <w:r w:rsidRPr="00C74E88">
        <w:rPr>
          <w:rFonts w:ascii="Arial" w:hAnsi="Arial" w:cs="Arial"/>
          <w:shadow/>
          <w:sz w:val="20"/>
          <w:szCs w:val="20"/>
        </w:rPr>
        <w:t>authorisation</w:t>
      </w:r>
      <w:proofErr w:type="spellEnd"/>
      <w:r w:rsidRPr="00C74E88">
        <w:rPr>
          <w:rFonts w:ascii="Arial" w:hAnsi="Arial" w:cs="Arial"/>
          <w:shadow/>
          <w:sz w:val="20"/>
          <w:szCs w:val="20"/>
        </w:rPr>
        <w:t xml:space="preserve"> to render foreign military assistance in terms of the said Act, (b) what are the reasons for each refusal, (c) to which country was each </w:t>
      </w:r>
      <w:r w:rsidRPr="00C74E88">
        <w:rPr>
          <w:rFonts w:ascii="Arial" w:hAnsi="Arial" w:cs="Arial"/>
          <w:shadow/>
          <w:sz w:val="20"/>
          <w:szCs w:val="20"/>
          <w:lang w:val="en-ZA"/>
        </w:rPr>
        <w:t>application</w:t>
      </w:r>
      <w:r w:rsidRPr="00C74E88">
        <w:rPr>
          <w:rFonts w:ascii="Arial" w:hAnsi="Arial" w:cs="Arial"/>
          <w:shadow/>
          <w:sz w:val="20"/>
          <w:szCs w:val="20"/>
        </w:rPr>
        <w:t xml:space="preserve"> to give foreign military assistance made and (d) when was each application denied?</w:t>
      </w:r>
    </w:p>
    <w:p w:rsidR="00C74E88" w:rsidRPr="00C74E88" w:rsidRDefault="00C74E88" w:rsidP="00C74E88">
      <w:pPr>
        <w:ind w:left="1440" w:hanging="720"/>
        <w:jc w:val="both"/>
        <w:rPr>
          <w:rFonts w:ascii="Arial" w:hAnsi="Arial" w:cs="Arial"/>
          <w:b/>
          <w:shadow/>
          <w:sz w:val="20"/>
          <w:szCs w:val="20"/>
        </w:rPr>
      </w:pPr>
      <w:r w:rsidRPr="00C74E88">
        <w:rPr>
          <w:rFonts w:ascii="Arial" w:hAnsi="Arial" w:cs="Arial"/>
          <w:shadow/>
          <w:sz w:val="20"/>
          <w:szCs w:val="20"/>
        </w:rPr>
        <w:t>NW 3540E</w:t>
      </w:r>
      <w:r w:rsidRPr="00C74E88">
        <w:rPr>
          <w:rFonts w:ascii="Arial" w:hAnsi="Arial" w:cs="Arial"/>
          <w:shadow/>
          <w:sz w:val="20"/>
          <w:szCs w:val="20"/>
        </w:rPr>
        <w:tab/>
      </w:r>
    </w:p>
    <w:p w:rsidR="00C74E88" w:rsidRPr="00C74E88" w:rsidRDefault="00C74E88" w:rsidP="00C74E88">
      <w:pPr>
        <w:pStyle w:val="Header"/>
        <w:tabs>
          <w:tab w:val="clear" w:pos="4320"/>
          <w:tab w:val="clear" w:pos="8640"/>
        </w:tabs>
        <w:jc w:val="both"/>
        <w:rPr>
          <w:rFonts w:ascii="Arial" w:hAnsi="Arial" w:cs="Arial"/>
          <w:b/>
          <w:shadow/>
          <w:sz w:val="20"/>
          <w:szCs w:val="20"/>
        </w:rPr>
      </w:pPr>
      <w:r w:rsidRPr="00C74E88">
        <w:rPr>
          <w:rFonts w:ascii="Arial" w:hAnsi="Arial" w:cs="Arial"/>
          <w:b/>
          <w:shadow/>
          <w:sz w:val="20"/>
          <w:szCs w:val="20"/>
        </w:rPr>
        <w:t>REPLY</w:t>
      </w:r>
    </w:p>
    <w:p w:rsidR="00C74E88" w:rsidRPr="00C74E88" w:rsidRDefault="00C74E88" w:rsidP="00C74E88">
      <w:pPr>
        <w:pStyle w:val="Header"/>
        <w:tabs>
          <w:tab w:val="clear" w:pos="4320"/>
          <w:tab w:val="clear" w:pos="8640"/>
        </w:tabs>
        <w:jc w:val="both"/>
        <w:rPr>
          <w:rFonts w:ascii="Arial" w:hAnsi="Arial" w:cs="Arial"/>
          <w:shadow/>
          <w:sz w:val="20"/>
          <w:szCs w:val="20"/>
        </w:rPr>
      </w:pPr>
    </w:p>
    <w:p w:rsidR="00C74E88" w:rsidRPr="00C74E88" w:rsidRDefault="00C74E88" w:rsidP="00C74E88">
      <w:pPr>
        <w:pStyle w:val="Header"/>
        <w:tabs>
          <w:tab w:val="clear" w:pos="4320"/>
          <w:tab w:val="clear" w:pos="8640"/>
        </w:tabs>
        <w:ind w:left="360"/>
        <w:jc w:val="both"/>
        <w:rPr>
          <w:rFonts w:ascii="Arial" w:hAnsi="Arial" w:cs="Arial"/>
          <w:shadow/>
          <w:sz w:val="20"/>
          <w:szCs w:val="20"/>
        </w:rPr>
      </w:pPr>
      <w:r w:rsidRPr="00C74E88">
        <w:rPr>
          <w:rFonts w:ascii="Arial" w:hAnsi="Arial" w:cs="Arial"/>
          <w:shadow/>
          <w:sz w:val="20"/>
          <w:szCs w:val="20"/>
        </w:rPr>
        <w:t xml:space="preserve">In the period under review, the NCACC considered and decided on a number of applications under the </w:t>
      </w:r>
      <w:r w:rsidRPr="00C74E88">
        <w:rPr>
          <w:rFonts w:ascii="Arial" w:hAnsi="Arial" w:cs="Arial"/>
          <w:shadow/>
          <w:sz w:val="20"/>
          <w:szCs w:val="20"/>
          <w:lang w:val="en-ZA"/>
        </w:rPr>
        <w:t>Regulation</w:t>
      </w:r>
      <w:r w:rsidRPr="00C74E88">
        <w:rPr>
          <w:rFonts w:ascii="Arial" w:hAnsi="Arial" w:cs="Arial"/>
          <w:shadow/>
          <w:sz w:val="20"/>
          <w:szCs w:val="20"/>
        </w:rPr>
        <w:t xml:space="preserve"> of Foreign Military Assistance Act (Act 15 of 1998). The decisions of the NCACC in this regard are contained on the table attached below. It needs to be understood though that in the consideration of these applications the NCACC sometimes calls for the submission of additional information which is not always positively met. In such an event, the NCACC therefore does not make a final decision.</w:t>
      </w:r>
    </w:p>
    <w:p w:rsidR="00C74E88" w:rsidRPr="00C74E88" w:rsidRDefault="00C74E88" w:rsidP="00C74E88">
      <w:pPr>
        <w:pStyle w:val="Header"/>
        <w:tabs>
          <w:tab w:val="clear" w:pos="4320"/>
          <w:tab w:val="clear" w:pos="8640"/>
        </w:tabs>
        <w:jc w:val="both"/>
        <w:rPr>
          <w:rFonts w:ascii="Arial" w:hAnsi="Arial" w:cs="Arial"/>
          <w:shadow/>
          <w:sz w:val="20"/>
          <w:szCs w:val="20"/>
        </w:rPr>
      </w:pPr>
    </w:p>
    <w:p w:rsidR="00C74E88" w:rsidRPr="00C74E88" w:rsidRDefault="00C74E88" w:rsidP="00C74E88">
      <w:pPr>
        <w:pStyle w:val="Header"/>
        <w:tabs>
          <w:tab w:val="clear" w:pos="4320"/>
          <w:tab w:val="clear" w:pos="8640"/>
        </w:tabs>
        <w:jc w:val="both"/>
        <w:rPr>
          <w:rFonts w:ascii="Arial" w:hAnsi="Arial" w:cs="Arial"/>
          <w:shadow/>
          <w:sz w:val="20"/>
          <w:szCs w:val="20"/>
        </w:rPr>
      </w:pPr>
    </w:p>
    <w:p w:rsidR="00133DFD" w:rsidRPr="00C74E88" w:rsidRDefault="00C74E88" w:rsidP="001D4177">
      <w:pPr>
        <w:pStyle w:val="Title"/>
        <w:jc w:val="left"/>
        <w:rPr>
          <w:rFonts w:ascii="Arial" w:hAnsi="Arial" w:cs="Arial"/>
          <w:sz w:val="20"/>
        </w:rPr>
      </w:pPr>
      <w:r w:rsidRPr="00C74E88">
        <w:rPr>
          <w:rFonts w:ascii="Arial" w:hAnsi="Arial" w:cs="Arial"/>
          <w:sz w:val="20"/>
        </w:rPr>
        <w:t xml:space="preserve">Find here: </w:t>
      </w:r>
      <w:hyperlink r:id="rId5" w:history="1">
        <w:r w:rsidR="001D4177" w:rsidRPr="001D4177">
          <w:rPr>
            <w:rStyle w:val="Hyperlink"/>
            <w:rFonts w:ascii="Arial" w:hAnsi="Arial" w:cs="Arial"/>
            <w:sz w:val="20"/>
          </w:rPr>
          <w:t>Regulation of Foreign Military Assistance Authorisations</w:t>
        </w:r>
      </w:hyperlink>
      <w:r w:rsidR="001D4177">
        <w:rPr>
          <w:rFonts w:ascii="Arial" w:hAnsi="Arial" w:cs="Arial"/>
          <w:sz w:val="20"/>
        </w:rPr>
        <w:br/>
      </w:r>
      <w:r w:rsidR="001D4177">
        <w:rPr>
          <w:rFonts w:ascii="Arial" w:hAnsi="Arial" w:cs="Arial"/>
          <w:sz w:val="20"/>
        </w:rPr>
        <w:br/>
      </w:r>
    </w:p>
    <w:sectPr w:rsidR="00133DFD" w:rsidRPr="00C74E88" w:rsidSect="00133D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4564"/>
    <w:multiLevelType w:val="hybridMultilevel"/>
    <w:tmpl w:val="A6F2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74E88"/>
    <w:rsid w:val="00133DFD"/>
    <w:rsid w:val="001D4177"/>
    <w:rsid w:val="00C74E88"/>
    <w:rsid w:val="00F9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E88"/>
    <w:pPr>
      <w:tabs>
        <w:tab w:val="center" w:pos="4320"/>
        <w:tab w:val="right" w:pos="8640"/>
      </w:tabs>
    </w:pPr>
  </w:style>
  <w:style w:type="character" w:customStyle="1" w:styleId="HeaderChar">
    <w:name w:val="Header Char"/>
    <w:basedOn w:val="DefaultParagraphFont"/>
    <w:link w:val="Header"/>
    <w:rsid w:val="00C74E88"/>
    <w:rPr>
      <w:rFonts w:ascii="Times New Roman" w:eastAsia="Times New Roman" w:hAnsi="Times New Roman" w:cs="Times New Roman"/>
      <w:sz w:val="24"/>
      <w:szCs w:val="24"/>
    </w:rPr>
  </w:style>
  <w:style w:type="paragraph" w:styleId="Title">
    <w:name w:val="Title"/>
    <w:basedOn w:val="Normal"/>
    <w:link w:val="TitleChar"/>
    <w:qFormat/>
    <w:rsid w:val="00C74E88"/>
    <w:pPr>
      <w:jc w:val="center"/>
    </w:pPr>
    <w:rPr>
      <w:rFonts w:ascii="Lucida Console" w:hAnsi="Lucida Console"/>
      <w:b/>
      <w:i/>
      <w:sz w:val="32"/>
      <w:szCs w:val="20"/>
      <w:lang w:val="en-AU" w:eastAsia="en-GB"/>
    </w:rPr>
  </w:style>
  <w:style w:type="character" w:customStyle="1" w:styleId="TitleChar">
    <w:name w:val="Title Char"/>
    <w:basedOn w:val="DefaultParagraphFont"/>
    <w:link w:val="Title"/>
    <w:rsid w:val="00C74E88"/>
    <w:rPr>
      <w:rFonts w:ascii="Lucida Console" w:eastAsia="Times New Roman" w:hAnsi="Lucida Console" w:cs="Times New Roman"/>
      <w:b/>
      <w:i/>
      <w:sz w:val="32"/>
      <w:szCs w:val="20"/>
      <w:lang w:val="en-AU" w:eastAsia="en-GB"/>
    </w:rPr>
  </w:style>
  <w:style w:type="character" w:styleId="Hyperlink">
    <w:name w:val="Hyperlink"/>
    <w:basedOn w:val="DefaultParagraphFont"/>
    <w:uiPriority w:val="99"/>
    <w:unhideWhenUsed/>
    <w:rsid w:val="001D4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2990repl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2022-10-11T12:27:00Z</dcterms:created>
  <dcterms:modified xsi:type="dcterms:W3CDTF">2022-10-11T12:32:00Z</dcterms:modified>
</cp:coreProperties>
</file>