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585274" w:rsidRDefault="005E1FBC">
      <w:pPr>
        <w:pStyle w:val="BodyText"/>
        <w:rPr>
          <w:b/>
          <w:bCs/>
          <w:sz w:val="24"/>
          <w:u w:val="single"/>
        </w:rPr>
      </w:pPr>
      <w:r w:rsidRPr="0034705D">
        <w:rPr>
          <w:b/>
          <w:bCs/>
          <w:sz w:val="24"/>
          <w:u w:val="single"/>
        </w:rPr>
        <w:t xml:space="preserve">QUESTION NO. </w:t>
      </w:r>
      <w:r w:rsidR="009448C9">
        <w:rPr>
          <w:b/>
          <w:bCs/>
          <w:sz w:val="24"/>
          <w:u w:val="single"/>
        </w:rPr>
        <w:t>2</w:t>
      </w:r>
      <w:r w:rsidR="00B321D5">
        <w:rPr>
          <w:b/>
          <w:bCs/>
          <w:sz w:val="24"/>
          <w:u w:val="single"/>
        </w:rPr>
        <w:t>9</w:t>
      </w:r>
      <w:r w:rsidR="00322778">
        <w:rPr>
          <w:b/>
          <w:bCs/>
          <w:sz w:val="24"/>
          <w:u w:val="single"/>
        </w:rPr>
        <w:t>8</w:t>
      </w:r>
      <w:r w:rsidR="00E77291">
        <w:rPr>
          <w:b/>
          <w:bCs/>
          <w:sz w:val="24"/>
          <w:u w:val="single"/>
        </w:rPr>
        <w:t>5</w:t>
      </w:r>
    </w:p>
    <w:p w:rsidR="00E442A4" w:rsidRDefault="00E442A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90128">
        <w:rPr>
          <w:b/>
          <w:bCs/>
          <w:sz w:val="24"/>
          <w:u w:val="single"/>
        </w:rPr>
        <w:t>04 DECEM</w:t>
      </w:r>
      <w:r w:rsidR="00455941">
        <w:rPr>
          <w:b/>
          <w:bCs/>
          <w:sz w:val="24"/>
          <w:u w:val="single"/>
        </w:rPr>
        <w:t>BE</w:t>
      </w:r>
      <w:r w:rsidR="00493E34">
        <w:rPr>
          <w:b/>
          <w:bCs/>
          <w:sz w:val="24"/>
          <w:u w:val="single"/>
        </w:rPr>
        <w:t xml:space="preserve">R </w:t>
      </w:r>
      <w:r w:rsidRPr="00923623">
        <w:rPr>
          <w:b/>
          <w:bCs/>
          <w:sz w:val="24"/>
          <w:u w:val="single"/>
        </w:rPr>
        <w:t>20</w:t>
      </w:r>
      <w:r w:rsidR="009C0CEE">
        <w:rPr>
          <w:b/>
          <w:bCs/>
          <w:sz w:val="24"/>
          <w:u w:val="single"/>
        </w:rPr>
        <w:t>20</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B321D5">
        <w:rPr>
          <w:b/>
          <w:bCs/>
          <w:sz w:val="24"/>
          <w:u w:val="single"/>
        </w:rPr>
        <w:t>5</w:t>
      </w:r>
      <w:r w:rsidR="00E90128">
        <w:rPr>
          <w:b/>
          <w:bCs/>
          <w:sz w:val="24"/>
          <w:u w:val="single"/>
        </w:rPr>
        <w:t>1</w:t>
      </w:r>
      <w:r w:rsidRPr="00067DAB">
        <w:rPr>
          <w:b/>
          <w:bCs/>
          <w:sz w:val="24"/>
          <w:u w:val="single"/>
        </w:rPr>
        <w:t>)</w:t>
      </w:r>
    </w:p>
    <w:p w:rsidR="007E1E23" w:rsidRPr="00E77291" w:rsidRDefault="007E1E23" w:rsidP="007E1E23">
      <w:pPr>
        <w:spacing w:before="100" w:beforeAutospacing="1" w:after="100" w:afterAutospacing="1"/>
        <w:ind w:left="720" w:hanging="720"/>
        <w:jc w:val="both"/>
        <w:outlineLvl w:val="0"/>
        <w:rPr>
          <w:b/>
          <w:bCs/>
          <w:sz w:val="24"/>
          <w:u w:val="single"/>
        </w:rPr>
      </w:pPr>
      <w:r w:rsidRPr="00E77291">
        <w:rPr>
          <w:b/>
          <w:sz w:val="24"/>
          <w:u w:val="single"/>
        </w:rPr>
        <w:t>Dr</w:t>
      </w:r>
      <w:r w:rsidRPr="00E77291">
        <w:rPr>
          <w:b/>
          <w:noProof/>
          <w:sz w:val="24"/>
          <w:u w:val="single"/>
          <w:lang w:val="af-ZA"/>
        </w:rPr>
        <w:t xml:space="preserve"> P J Groenewald (FF Plus) to ask the Minister of Health</w:t>
      </w:r>
      <w:r w:rsidR="00F55880" w:rsidRPr="00E77291">
        <w:rPr>
          <w:b/>
          <w:noProof/>
          <w:sz w:val="24"/>
          <w:u w:val="single"/>
          <w:lang w:val="af-ZA"/>
        </w:rPr>
        <w:fldChar w:fldCharType="begin"/>
      </w:r>
      <w:r w:rsidRPr="00E77291">
        <w:rPr>
          <w:u w:val="single"/>
        </w:rPr>
        <w:instrText xml:space="preserve"> XE "</w:instrText>
      </w:r>
      <w:r w:rsidRPr="00E77291">
        <w:rPr>
          <w:b/>
          <w:sz w:val="24"/>
          <w:u w:val="single"/>
        </w:rPr>
        <w:instrText>Health</w:instrText>
      </w:r>
      <w:r w:rsidRPr="00E77291">
        <w:rPr>
          <w:u w:val="single"/>
        </w:rPr>
        <w:instrText xml:space="preserve">" </w:instrText>
      </w:r>
      <w:r w:rsidR="00F55880" w:rsidRPr="00E77291">
        <w:rPr>
          <w:b/>
          <w:noProof/>
          <w:sz w:val="24"/>
          <w:u w:val="single"/>
          <w:lang w:val="af-ZA"/>
        </w:rPr>
        <w:fldChar w:fldCharType="end"/>
      </w:r>
      <w:proofErr w:type="gramStart"/>
      <w:r w:rsidRPr="00E77291">
        <w:rPr>
          <w:b/>
          <w:noProof/>
          <w:sz w:val="24"/>
          <w:u w:val="single"/>
          <w:lang w:val="af-ZA"/>
        </w:rPr>
        <w:t>:</w:t>
      </w:r>
      <w:r w:rsidRPr="00E77291">
        <w:rPr>
          <w:b/>
          <w:bCs/>
          <w:sz w:val="24"/>
          <w:u w:val="single"/>
        </w:rPr>
        <w:t>†</w:t>
      </w:r>
      <w:proofErr w:type="gramEnd"/>
    </w:p>
    <w:p w:rsidR="007E1E23" w:rsidRPr="00E77291" w:rsidRDefault="007E1E23" w:rsidP="00E77291">
      <w:pPr>
        <w:spacing w:before="100" w:beforeAutospacing="1" w:after="100" w:afterAutospacing="1"/>
        <w:ind w:left="709" w:hanging="720"/>
        <w:jc w:val="both"/>
        <w:outlineLvl w:val="0"/>
        <w:rPr>
          <w:sz w:val="24"/>
        </w:rPr>
      </w:pPr>
      <w:r w:rsidRPr="00E77291">
        <w:rPr>
          <w:sz w:val="24"/>
        </w:rPr>
        <w:t>(1)</w:t>
      </w:r>
      <w:r w:rsidRPr="00E77291">
        <w:rPr>
          <w:sz w:val="24"/>
        </w:rPr>
        <w:tab/>
        <w:t>What (a) is the total backlog of toxicological reports at the laboratories at present and (b) total number of reports have been outstanding for (</w:t>
      </w:r>
      <w:proofErr w:type="spellStart"/>
      <w:r w:rsidRPr="00E77291">
        <w:rPr>
          <w:sz w:val="24"/>
        </w:rPr>
        <w:t>i</w:t>
      </w:r>
      <w:proofErr w:type="spellEnd"/>
      <w:r w:rsidRPr="00E77291">
        <w:rPr>
          <w:sz w:val="24"/>
        </w:rPr>
        <w:t>) more than 10 years, (ii) 10-9 years, (iii) 9-8 years, (iv) 8-5 years and (v) 5-1 years;</w:t>
      </w:r>
    </w:p>
    <w:p w:rsidR="007E1E23" w:rsidRPr="00E77291" w:rsidRDefault="007E1E23" w:rsidP="00E77291">
      <w:pPr>
        <w:spacing w:before="100" w:beforeAutospacing="1" w:after="100" w:afterAutospacing="1"/>
        <w:ind w:left="709" w:hanging="720"/>
        <w:jc w:val="both"/>
        <w:outlineLvl w:val="0"/>
        <w:rPr>
          <w:sz w:val="24"/>
        </w:rPr>
      </w:pPr>
      <w:r w:rsidRPr="00E77291">
        <w:rPr>
          <w:sz w:val="24"/>
        </w:rPr>
        <w:t>(2)</w:t>
      </w:r>
      <w:r w:rsidRPr="00E77291">
        <w:rPr>
          <w:sz w:val="24"/>
        </w:rPr>
        <w:tab/>
        <w:t>(</w:t>
      </w:r>
      <w:proofErr w:type="gramStart"/>
      <w:r w:rsidRPr="00E77291">
        <w:rPr>
          <w:sz w:val="24"/>
        </w:rPr>
        <w:t>a</w:t>
      </w:r>
      <w:proofErr w:type="gramEnd"/>
      <w:r w:rsidRPr="00E77291">
        <w:rPr>
          <w:sz w:val="24"/>
        </w:rPr>
        <w:t>) what are the reasons for the specified backlog and (b) how does he intend to eradicate the backlog;</w:t>
      </w:r>
    </w:p>
    <w:p w:rsidR="0056595D" w:rsidRPr="002C2248" w:rsidRDefault="007E1E23" w:rsidP="007E1E23">
      <w:pPr>
        <w:spacing w:before="100" w:beforeAutospacing="1" w:after="100" w:afterAutospacing="1"/>
        <w:ind w:hanging="11"/>
        <w:jc w:val="both"/>
        <w:outlineLvl w:val="0"/>
        <w:rPr>
          <w:sz w:val="24"/>
        </w:rPr>
      </w:pPr>
      <w:r w:rsidRPr="00E77291">
        <w:rPr>
          <w:sz w:val="24"/>
        </w:rPr>
        <w:t>(3)</w:t>
      </w:r>
      <w:r w:rsidRPr="00E77291">
        <w:rPr>
          <w:sz w:val="24"/>
        </w:rPr>
        <w:tab/>
      </w:r>
      <w:proofErr w:type="gramStart"/>
      <w:r w:rsidRPr="00E77291">
        <w:rPr>
          <w:sz w:val="24"/>
        </w:rPr>
        <w:t>whether</w:t>
      </w:r>
      <w:proofErr w:type="gramEnd"/>
      <w:r w:rsidRPr="00E77291">
        <w:rPr>
          <w:sz w:val="24"/>
        </w:rPr>
        <w:t xml:space="preserve"> he will make a statement on the matter?</w:t>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w:t>
      </w:r>
      <w:r w:rsidR="002B5ACB">
        <w:rPr>
          <w:color w:val="000000"/>
          <w:lang w:val="en-ZA"/>
        </w:rPr>
        <w:t>3</w:t>
      </w:r>
      <w:r w:rsidR="00322778">
        <w:rPr>
          <w:color w:val="000000"/>
          <w:lang w:val="en-ZA"/>
        </w:rPr>
        <w:t>8</w:t>
      </w:r>
      <w:r w:rsidR="007939D1">
        <w:rPr>
          <w:color w:val="000000"/>
          <w:lang w:val="en-ZA"/>
        </w:rPr>
        <w:t>1</w:t>
      </w:r>
      <w:r w:rsidR="00E77291">
        <w:rPr>
          <w:color w:val="000000"/>
          <w:lang w:val="en-ZA"/>
        </w:rPr>
        <w:t>3</w:t>
      </w:r>
      <w:r w:rsidRPr="00856686">
        <w:rPr>
          <w:color w:val="000000"/>
          <w:lang w:val="en-ZA"/>
        </w:rPr>
        <w:t>E</w:t>
      </w:r>
      <w:r w:rsidR="00E238C2">
        <w:rPr>
          <w:color w:val="000000"/>
          <w:szCs w:val="20"/>
        </w:rPr>
        <w:t xml:space="preserve"> </w:t>
      </w:r>
    </w:p>
    <w:p w:rsidR="0098235C" w:rsidRPr="00E63733" w:rsidRDefault="00E238C2" w:rsidP="00E63733">
      <w:pPr>
        <w:rPr>
          <w:b/>
          <w:bCs/>
          <w:sz w:val="24"/>
          <w:u w:val="single"/>
          <w:lang w:val="en-US"/>
        </w:rPr>
      </w:pPr>
      <w:r w:rsidRPr="0034705D">
        <w:rPr>
          <w:b/>
          <w:bCs/>
          <w:sz w:val="24"/>
          <w:u w:val="single"/>
          <w:lang w:val="en-US"/>
        </w:rPr>
        <w:t>REPLY:</w:t>
      </w:r>
      <w:r w:rsidR="002B6E08" w:rsidRPr="002B6E08">
        <w:rPr>
          <w:sz w:val="24"/>
          <w:lang w:val="en-ZA"/>
        </w:rPr>
        <w:t xml:space="preserve"> </w:t>
      </w:r>
    </w:p>
    <w:p w:rsidR="000D287D" w:rsidRPr="000D287D" w:rsidRDefault="00C9012E" w:rsidP="000D287D">
      <w:pPr>
        <w:pStyle w:val="ListParagraph"/>
        <w:numPr>
          <w:ilvl w:val="0"/>
          <w:numId w:val="4"/>
        </w:numPr>
        <w:spacing w:before="100" w:beforeAutospacing="1" w:after="100" w:afterAutospacing="1" w:line="360" w:lineRule="auto"/>
        <w:ind w:hanging="720"/>
        <w:contextualSpacing w:val="0"/>
        <w:jc w:val="both"/>
        <w:outlineLvl w:val="0"/>
        <w:rPr>
          <w:noProof/>
          <w:sz w:val="24"/>
          <w:lang w:val="af-ZA"/>
        </w:rPr>
      </w:pPr>
      <w:r w:rsidRPr="00C9012E">
        <w:rPr>
          <w:noProof/>
          <w:sz w:val="24"/>
          <w:lang w:val="af-ZA"/>
        </w:rPr>
        <w:t>The table below reflects the details in this regard:</w:t>
      </w:r>
    </w:p>
    <w:tbl>
      <w:tblPr>
        <w:tblStyle w:val="TableGrid"/>
        <w:tblW w:w="9639" w:type="dxa"/>
        <w:tblInd w:w="704" w:type="dxa"/>
        <w:tblLook w:val="04A0"/>
      </w:tblPr>
      <w:tblGrid>
        <w:gridCol w:w="4275"/>
        <w:gridCol w:w="1377"/>
        <w:gridCol w:w="1732"/>
        <w:gridCol w:w="1366"/>
        <w:gridCol w:w="889"/>
      </w:tblGrid>
      <w:tr w:rsidR="000D287D" w:rsidRPr="006E29D7" w:rsidTr="000D287D">
        <w:trPr>
          <w:trHeight w:val="414"/>
        </w:trPr>
        <w:tc>
          <w:tcPr>
            <w:tcW w:w="4678" w:type="dxa"/>
          </w:tcPr>
          <w:p w:rsidR="000D287D" w:rsidRPr="006E29D7" w:rsidRDefault="000D287D" w:rsidP="00C64C5D">
            <w:pPr>
              <w:spacing w:line="360" w:lineRule="auto"/>
              <w:jc w:val="both"/>
              <w:rPr>
                <w:b/>
                <w:bCs/>
                <w:szCs w:val="22"/>
                <w:lang w:val="en-US"/>
              </w:rPr>
            </w:pPr>
          </w:p>
        </w:tc>
        <w:tc>
          <w:tcPr>
            <w:tcW w:w="1378" w:type="dxa"/>
          </w:tcPr>
          <w:p w:rsidR="000D287D" w:rsidRPr="006E29D7" w:rsidRDefault="000D287D" w:rsidP="00C64C5D">
            <w:pPr>
              <w:jc w:val="both"/>
              <w:rPr>
                <w:b/>
                <w:szCs w:val="22"/>
              </w:rPr>
            </w:pPr>
            <w:r w:rsidRPr="006E29D7">
              <w:rPr>
                <w:b/>
                <w:szCs w:val="22"/>
              </w:rPr>
              <w:t>Forensic Chemistry Laboratory Cape Town</w:t>
            </w:r>
          </w:p>
        </w:tc>
        <w:tc>
          <w:tcPr>
            <w:tcW w:w="1459" w:type="dxa"/>
          </w:tcPr>
          <w:p w:rsidR="000D287D" w:rsidRPr="006E29D7" w:rsidRDefault="000D287D" w:rsidP="00C64C5D">
            <w:pPr>
              <w:jc w:val="both"/>
              <w:rPr>
                <w:b/>
                <w:szCs w:val="22"/>
              </w:rPr>
            </w:pPr>
            <w:r w:rsidRPr="006E29D7">
              <w:rPr>
                <w:b/>
                <w:szCs w:val="22"/>
              </w:rPr>
              <w:t>Forensic Chemistry Laboratory Johannesburg</w:t>
            </w:r>
          </w:p>
        </w:tc>
        <w:tc>
          <w:tcPr>
            <w:tcW w:w="1275" w:type="dxa"/>
          </w:tcPr>
          <w:p w:rsidR="000D287D" w:rsidRPr="006E29D7" w:rsidRDefault="000D287D" w:rsidP="00C64C5D">
            <w:pPr>
              <w:jc w:val="both"/>
              <w:rPr>
                <w:b/>
                <w:szCs w:val="22"/>
              </w:rPr>
            </w:pPr>
            <w:r w:rsidRPr="006E29D7">
              <w:rPr>
                <w:b/>
                <w:szCs w:val="22"/>
              </w:rPr>
              <w:t>Forensic Chemistry Laboratory Pretoria</w:t>
            </w:r>
          </w:p>
        </w:tc>
        <w:tc>
          <w:tcPr>
            <w:tcW w:w="849" w:type="dxa"/>
          </w:tcPr>
          <w:p w:rsidR="000D287D" w:rsidRPr="006E29D7" w:rsidRDefault="000D287D" w:rsidP="00C64C5D">
            <w:pPr>
              <w:jc w:val="both"/>
              <w:rPr>
                <w:b/>
                <w:szCs w:val="22"/>
              </w:rPr>
            </w:pPr>
            <w:r w:rsidRPr="006E29D7">
              <w:rPr>
                <w:b/>
                <w:szCs w:val="22"/>
              </w:rPr>
              <w:t>Total</w:t>
            </w:r>
          </w:p>
        </w:tc>
      </w:tr>
      <w:tr w:rsidR="000D287D" w:rsidRPr="006E29D7" w:rsidTr="000D287D">
        <w:tc>
          <w:tcPr>
            <w:tcW w:w="4678" w:type="dxa"/>
          </w:tcPr>
          <w:p w:rsidR="000D287D" w:rsidRPr="006E29D7" w:rsidRDefault="000D287D" w:rsidP="00C64C5D">
            <w:pPr>
              <w:rPr>
                <w:szCs w:val="22"/>
              </w:rPr>
            </w:pPr>
            <w:r w:rsidRPr="006E29D7">
              <w:rPr>
                <w:szCs w:val="22"/>
              </w:rPr>
              <w:t xml:space="preserve">(a) the total backlog of toxicological reports at the laboratories at present </w:t>
            </w:r>
          </w:p>
        </w:tc>
        <w:tc>
          <w:tcPr>
            <w:tcW w:w="1378" w:type="dxa"/>
            <w:vAlign w:val="center"/>
          </w:tcPr>
          <w:p w:rsidR="000D287D" w:rsidRPr="006E29D7" w:rsidRDefault="000D287D" w:rsidP="00C64C5D">
            <w:pPr>
              <w:pStyle w:val="NormalWeb"/>
              <w:spacing w:before="0" w:beforeAutospacing="0" w:after="0" w:afterAutospacing="0" w:line="360" w:lineRule="atLeast"/>
              <w:jc w:val="center"/>
              <w:rPr>
                <w:rFonts w:ascii="Arial" w:hAnsi="Arial" w:cs="Arial"/>
                <w:sz w:val="22"/>
                <w:szCs w:val="22"/>
              </w:rPr>
            </w:pPr>
            <w:r w:rsidRPr="006E29D7">
              <w:rPr>
                <w:rFonts w:ascii="Arial" w:hAnsi="Arial" w:cs="Arial"/>
                <w:sz w:val="22"/>
                <w:szCs w:val="22"/>
                <w:bdr w:val="none" w:sz="0" w:space="0" w:color="auto" w:frame="1"/>
              </w:rPr>
              <w:t>5474</w:t>
            </w:r>
          </w:p>
        </w:tc>
        <w:tc>
          <w:tcPr>
            <w:tcW w:w="1459" w:type="dxa"/>
            <w:vAlign w:val="center"/>
          </w:tcPr>
          <w:p w:rsidR="000D287D" w:rsidRPr="006E29D7" w:rsidRDefault="000D287D" w:rsidP="00C64C5D">
            <w:pPr>
              <w:spacing w:line="360" w:lineRule="auto"/>
              <w:jc w:val="center"/>
              <w:rPr>
                <w:bCs/>
                <w:szCs w:val="22"/>
                <w:lang w:val="en-US"/>
              </w:rPr>
            </w:pPr>
            <w:r w:rsidRPr="006E29D7">
              <w:rPr>
                <w:bCs/>
                <w:szCs w:val="22"/>
                <w:lang w:val="en-US"/>
              </w:rPr>
              <w:t>10335*</w:t>
            </w:r>
          </w:p>
        </w:tc>
        <w:tc>
          <w:tcPr>
            <w:tcW w:w="1275" w:type="dxa"/>
            <w:vAlign w:val="center"/>
          </w:tcPr>
          <w:p w:rsidR="000D287D" w:rsidRPr="006E29D7" w:rsidRDefault="000D287D" w:rsidP="00C64C5D">
            <w:pPr>
              <w:pStyle w:val="NormalWeb"/>
              <w:spacing w:before="0" w:beforeAutospacing="0" w:after="0" w:afterAutospacing="0" w:line="360" w:lineRule="atLeast"/>
              <w:jc w:val="center"/>
              <w:rPr>
                <w:rFonts w:ascii="Arial" w:hAnsi="Arial" w:cs="Arial"/>
                <w:sz w:val="22"/>
                <w:szCs w:val="22"/>
              </w:rPr>
            </w:pPr>
            <w:r w:rsidRPr="006E29D7">
              <w:rPr>
                <w:rFonts w:ascii="Arial" w:hAnsi="Arial" w:cs="Arial"/>
                <w:sz w:val="22"/>
                <w:szCs w:val="22"/>
                <w:bdr w:val="none" w:sz="0" w:space="0" w:color="auto" w:frame="1"/>
              </w:rPr>
              <w:t>12 372</w:t>
            </w:r>
          </w:p>
        </w:tc>
        <w:tc>
          <w:tcPr>
            <w:tcW w:w="849" w:type="dxa"/>
            <w:vAlign w:val="center"/>
          </w:tcPr>
          <w:p w:rsidR="000D287D" w:rsidRPr="006E29D7" w:rsidRDefault="000D287D" w:rsidP="00C64C5D">
            <w:pPr>
              <w:pStyle w:val="NormalWeb"/>
              <w:spacing w:before="0" w:beforeAutospacing="0" w:after="0" w:afterAutospacing="0" w:line="360" w:lineRule="atLeast"/>
              <w:jc w:val="center"/>
              <w:rPr>
                <w:rFonts w:ascii="Arial" w:hAnsi="Arial" w:cs="Arial"/>
                <w:sz w:val="22"/>
                <w:szCs w:val="22"/>
                <w:bdr w:val="none" w:sz="0" w:space="0" w:color="auto" w:frame="1"/>
              </w:rPr>
            </w:pPr>
            <w:r w:rsidRPr="006E29D7">
              <w:rPr>
                <w:rFonts w:ascii="Arial" w:hAnsi="Arial" w:cs="Arial"/>
                <w:sz w:val="22"/>
                <w:szCs w:val="22"/>
                <w:bdr w:val="none" w:sz="0" w:space="0" w:color="auto" w:frame="1"/>
              </w:rPr>
              <w:t>28,181</w:t>
            </w:r>
          </w:p>
        </w:tc>
      </w:tr>
      <w:tr w:rsidR="000D287D" w:rsidRPr="006E29D7" w:rsidTr="000D287D">
        <w:tc>
          <w:tcPr>
            <w:tcW w:w="4678" w:type="dxa"/>
          </w:tcPr>
          <w:p w:rsidR="000D287D" w:rsidRPr="006E29D7" w:rsidRDefault="000D287D" w:rsidP="00C64C5D">
            <w:pPr>
              <w:rPr>
                <w:szCs w:val="22"/>
              </w:rPr>
            </w:pPr>
            <w:r w:rsidRPr="006E29D7">
              <w:rPr>
                <w:szCs w:val="22"/>
              </w:rPr>
              <w:t xml:space="preserve"> (b) total number of reports outstanding for (</w:t>
            </w:r>
            <w:proofErr w:type="spellStart"/>
            <w:r w:rsidRPr="006E29D7">
              <w:rPr>
                <w:szCs w:val="22"/>
              </w:rPr>
              <w:t>i</w:t>
            </w:r>
            <w:proofErr w:type="spellEnd"/>
            <w:r w:rsidRPr="006E29D7">
              <w:rPr>
                <w:szCs w:val="22"/>
              </w:rPr>
              <w:t xml:space="preserve">) more than 10 years, </w:t>
            </w:r>
          </w:p>
        </w:tc>
        <w:tc>
          <w:tcPr>
            <w:tcW w:w="1378" w:type="dxa"/>
            <w:vAlign w:val="center"/>
          </w:tcPr>
          <w:p w:rsidR="000D287D" w:rsidRPr="006E29D7" w:rsidRDefault="000D287D" w:rsidP="00C64C5D">
            <w:pPr>
              <w:pStyle w:val="NormalWeb"/>
              <w:spacing w:before="0" w:beforeAutospacing="0" w:after="0" w:afterAutospacing="0"/>
              <w:jc w:val="center"/>
              <w:rPr>
                <w:rFonts w:ascii="Arial" w:hAnsi="Arial" w:cs="Arial"/>
                <w:sz w:val="22"/>
                <w:szCs w:val="22"/>
              </w:rPr>
            </w:pPr>
            <w:r w:rsidRPr="006E29D7">
              <w:rPr>
                <w:rFonts w:ascii="Arial" w:hAnsi="Arial" w:cs="Arial"/>
                <w:sz w:val="22"/>
                <w:szCs w:val="22"/>
                <w:bdr w:val="none" w:sz="0" w:space="0" w:color="auto" w:frame="1"/>
                <w:lang w:val="en-GB"/>
              </w:rPr>
              <w:t>1030</w:t>
            </w:r>
          </w:p>
        </w:tc>
        <w:tc>
          <w:tcPr>
            <w:tcW w:w="1459" w:type="dxa"/>
            <w:vAlign w:val="center"/>
          </w:tcPr>
          <w:p w:rsidR="000D287D" w:rsidRPr="006E29D7" w:rsidRDefault="000D287D" w:rsidP="00C64C5D">
            <w:pPr>
              <w:jc w:val="center"/>
              <w:rPr>
                <w:szCs w:val="22"/>
              </w:rPr>
            </w:pPr>
            <w:r w:rsidRPr="006E29D7">
              <w:rPr>
                <w:szCs w:val="22"/>
              </w:rPr>
              <w:t>6333</w:t>
            </w:r>
          </w:p>
        </w:tc>
        <w:tc>
          <w:tcPr>
            <w:tcW w:w="1275" w:type="dxa"/>
            <w:vAlign w:val="center"/>
          </w:tcPr>
          <w:p w:rsidR="000D287D" w:rsidRPr="006E29D7" w:rsidRDefault="000D287D" w:rsidP="00C64C5D">
            <w:pPr>
              <w:pStyle w:val="NormalWeb"/>
              <w:spacing w:before="0" w:beforeAutospacing="0" w:after="0" w:afterAutospacing="0"/>
              <w:jc w:val="center"/>
              <w:rPr>
                <w:rFonts w:ascii="Arial" w:hAnsi="Arial" w:cs="Arial"/>
                <w:sz w:val="22"/>
                <w:szCs w:val="22"/>
              </w:rPr>
            </w:pPr>
            <w:r w:rsidRPr="006E29D7">
              <w:rPr>
                <w:rFonts w:ascii="Arial" w:hAnsi="Arial" w:cs="Arial"/>
                <w:sz w:val="22"/>
                <w:szCs w:val="22"/>
                <w:bdr w:val="none" w:sz="0" w:space="0" w:color="auto" w:frame="1"/>
                <w:lang w:val="en-GB"/>
              </w:rPr>
              <w:t>526</w:t>
            </w:r>
          </w:p>
        </w:tc>
        <w:tc>
          <w:tcPr>
            <w:tcW w:w="849" w:type="dxa"/>
            <w:vAlign w:val="center"/>
          </w:tcPr>
          <w:p w:rsidR="000D287D" w:rsidRPr="006E29D7" w:rsidRDefault="000D287D" w:rsidP="00C64C5D">
            <w:pPr>
              <w:pStyle w:val="NormalWeb"/>
              <w:spacing w:before="0" w:beforeAutospacing="0" w:after="0" w:afterAutospacing="0"/>
              <w:jc w:val="center"/>
              <w:rPr>
                <w:rFonts w:ascii="Arial" w:hAnsi="Arial" w:cs="Arial"/>
                <w:sz w:val="22"/>
                <w:szCs w:val="22"/>
                <w:bdr w:val="none" w:sz="0" w:space="0" w:color="auto" w:frame="1"/>
                <w:lang w:val="en-GB"/>
              </w:rPr>
            </w:pPr>
            <w:r w:rsidRPr="006E29D7">
              <w:rPr>
                <w:rFonts w:ascii="Arial" w:hAnsi="Arial" w:cs="Arial"/>
                <w:sz w:val="22"/>
                <w:szCs w:val="22"/>
                <w:bdr w:val="none" w:sz="0" w:space="0" w:color="auto" w:frame="1"/>
                <w:lang w:val="en-GB"/>
              </w:rPr>
              <w:t>7,889</w:t>
            </w:r>
          </w:p>
        </w:tc>
      </w:tr>
      <w:tr w:rsidR="000D287D" w:rsidRPr="006E29D7" w:rsidTr="000D287D">
        <w:trPr>
          <w:trHeight w:val="70"/>
        </w:trPr>
        <w:tc>
          <w:tcPr>
            <w:tcW w:w="4678" w:type="dxa"/>
          </w:tcPr>
          <w:p w:rsidR="000D287D" w:rsidRPr="006E29D7" w:rsidRDefault="000D287D" w:rsidP="00C64C5D">
            <w:pPr>
              <w:rPr>
                <w:szCs w:val="22"/>
              </w:rPr>
            </w:pPr>
            <w:r w:rsidRPr="006E29D7">
              <w:rPr>
                <w:szCs w:val="22"/>
              </w:rPr>
              <w:t xml:space="preserve">(b) total number of reports outstanding for (ii) 10-9 years, </w:t>
            </w:r>
          </w:p>
        </w:tc>
        <w:tc>
          <w:tcPr>
            <w:tcW w:w="1378" w:type="dxa"/>
            <w:vAlign w:val="center"/>
          </w:tcPr>
          <w:p w:rsidR="000D287D" w:rsidRPr="006E29D7" w:rsidRDefault="000D287D" w:rsidP="00C64C5D">
            <w:pPr>
              <w:pStyle w:val="NormalWeb"/>
              <w:spacing w:before="0" w:beforeAutospacing="0" w:after="0" w:afterAutospacing="0"/>
              <w:jc w:val="center"/>
              <w:rPr>
                <w:rFonts w:ascii="Arial" w:hAnsi="Arial" w:cs="Arial"/>
                <w:sz w:val="22"/>
                <w:szCs w:val="22"/>
              </w:rPr>
            </w:pPr>
            <w:r w:rsidRPr="006E29D7">
              <w:rPr>
                <w:rFonts w:ascii="Arial" w:hAnsi="Arial" w:cs="Arial"/>
                <w:sz w:val="22"/>
                <w:szCs w:val="22"/>
                <w:bdr w:val="none" w:sz="0" w:space="0" w:color="auto" w:frame="1"/>
                <w:lang w:val="en-GB"/>
              </w:rPr>
              <w:t>139</w:t>
            </w:r>
          </w:p>
        </w:tc>
        <w:tc>
          <w:tcPr>
            <w:tcW w:w="1459" w:type="dxa"/>
            <w:vAlign w:val="center"/>
          </w:tcPr>
          <w:p w:rsidR="000D287D" w:rsidRPr="006E29D7" w:rsidRDefault="000D287D" w:rsidP="00C64C5D">
            <w:pPr>
              <w:jc w:val="center"/>
              <w:rPr>
                <w:szCs w:val="22"/>
              </w:rPr>
            </w:pPr>
            <w:r w:rsidRPr="006E29D7">
              <w:rPr>
                <w:szCs w:val="22"/>
              </w:rPr>
              <w:t>842</w:t>
            </w:r>
          </w:p>
        </w:tc>
        <w:tc>
          <w:tcPr>
            <w:tcW w:w="1275" w:type="dxa"/>
            <w:vAlign w:val="center"/>
          </w:tcPr>
          <w:p w:rsidR="000D287D" w:rsidRPr="006E29D7" w:rsidRDefault="000D287D" w:rsidP="00C64C5D">
            <w:pPr>
              <w:pStyle w:val="NormalWeb"/>
              <w:spacing w:before="0" w:beforeAutospacing="0" w:after="0" w:afterAutospacing="0"/>
              <w:jc w:val="center"/>
              <w:rPr>
                <w:rFonts w:ascii="Arial" w:hAnsi="Arial" w:cs="Arial"/>
                <w:sz w:val="22"/>
                <w:szCs w:val="22"/>
              </w:rPr>
            </w:pPr>
            <w:r w:rsidRPr="006E29D7">
              <w:rPr>
                <w:rFonts w:ascii="Arial" w:hAnsi="Arial" w:cs="Arial"/>
                <w:sz w:val="22"/>
                <w:szCs w:val="22"/>
                <w:bdr w:val="none" w:sz="0" w:space="0" w:color="auto" w:frame="1"/>
                <w:lang w:val="en-GB"/>
              </w:rPr>
              <w:t>1294</w:t>
            </w:r>
          </w:p>
        </w:tc>
        <w:tc>
          <w:tcPr>
            <w:tcW w:w="849" w:type="dxa"/>
            <w:vAlign w:val="center"/>
          </w:tcPr>
          <w:p w:rsidR="000D287D" w:rsidRPr="006E29D7" w:rsidRDefault="000D287D" w:rsidP="00C64C5D">
            <w:pPr>
              <w:pStyle w:val="NormalWeb"/>
              <w:spacing w:before="0" w:beforeAutospacing="0" w:after="0" w:afterAutospacing="0"/>
              <w:jc w:val="center"/>
              <w:rPr>
                <w:rFonts w:ascii="Arial" w:hAnsi="Arial" w:cs="Arial"/>
                <w:sz w:val="22"/>
                <w:szCs w:val="22"/>
                <w:bdr w:val="none" w:sz="0" w:space="0" w:color="auto" w:frame="1"/>
                <w:lang w:val="en-GB"/>
              </w:rPr>
            </w:pPr>
            <w:r w:rsidRPr="006E29D7">
              <w:rPr>
                <w:rFonts w:ascii="Arial" w:hAnsi="Arial" w:cs="Arial"/>
                <w:sz w:val="22"/>
                <w:szCs w:val="22"/>
                <w:bdr w:val="none" w:sz="0" w:space="0" w:color="auto" w:frame="1"/>
                <w:lang w:val="en-GB"/>
              </w:rPr>
              <w:t>2,275</w:t>
            </w:r>
          </w:p>
        </w:tc>
      </w:tr>
      <w:tr w:rsidR="000D287D" w:rsidRPr="006E29D7" w:rsidTr="000D287D">
        <w:trPr>
          <w:trHeight w:val="70"/>
        </w:trPr>
        <w:tc>
          <w:tcPr>
            <w:tcW w:w="4678" w:type="dxa"/>
          </w:tcPr>
          <w:p w:rsidR="000D287D" w:rsidRPr="006E29D7" w:rsidRDefault="000D287D" w:rsidP="00C64C5D">
            <w:pPr>
              <w:rPr>
                <w:szCs w:val="22"/>
              </w:rPr>
            </w:pPr>
            <w:r w:rsidRPr="006E29D7">
              <w:rPr>
                <w:szCs w:val="22"/>
              </w:rPr>
              <w:t>(b) total number of reports outstanding for (iii) 9-8 years,</w:t>
            </w:r>
          </w:p>
        </w:tc>
        <w:tc>
          <w:tcPr>
            <w:tcW w:w="1378" w:type="dxa"/>
            <w:vAlign w:val="center"/>
          </w:tcPr>
          <w:p w:rsidR="000D287D" w:rsidRPr="006E29D7" w:rsidRDefault="000D287D" w:rsidP="00C64C5D">
            <w:pPr>
              <w:pStyle w:val="NormalWeb"/>
              <w:spacing w:before="0" w:beforeAutospacing="0" w:after="0" w:afterAutospacing="0"/>
              <w:jc w:val="center"/>
              <w:rPr>
                <w:rFonts w:ascii="Arial" w:hAnsi="Arial" w:cs="Arial"/>
                <w:sz w:val="22"/>
                <w:szCs w:val="22"/>
              </w:rPr>
            </w:pPr>
            <w:r w:rsidRPr="006E29D7">
              <w:rPr>
                <w:rFonts w:ascii="Arial" w:hAnsi="Arial" w:cs="Arial"/>
                <w:sz w:val="22"/>
                <w:szCs w:val="22"/>
                <w:bdr w:val="none" w:sz="0" w:space="0" w:color="auto" w:frame="1"/>
                <w:lang w:val="en-GB"/>
              </w:rPr>
              <w:t>376</w:t>
            </w:r>
          </w:p>
        </w:tc>
        <w:tc>
          <w:tcPr>
            <w:tcW w:w="1459" w:type="dxa"/>
            <w:vAlign w:val="center"/>
          </w:tcPr>
          <w:p w:rsidR="000D287D" w:rsidRPr="006E29D7" w:rsidRDefault="000D287D" w:rsidP="00C64C5D">
            <w:pPr>
              <w:jc w:val="center"/>
              <w:rPr>
                <w:szCs w:val="22"/>
              </w:rPr>
            </w:pPr>
            <w:r w:rsidRPr="006E29D7">
              <w:rPr>
                <w:szCs w:val="22"/>
              </w:rPr>
              <w:t>854</w:t>
            </w:r>
          </w:p>
        </w:tc>
        <w:tc>
          <w:tcPr>
            <w:tcW w:w="1275" w:type="dxa"/>
            <w:vAlign w:val="center"/>
          </w:tcPr>
          <w:p w:rsidR="000D287D" w:rsidRPr="006E29D7" w:rsidRDefault="000D287D" w:rsidP="00C64C5D">
            <w:pPr>
              <w:pStyle w:val="NormalWeb"/>
              <w:spacing w:before="0" w:beforeAutospacing="0" w:after="0" w:afterAutospacing="0"/>
              <w:jc w:val="center"/>
              <w:rPr>
                <w:rFonts w:ascii="Arial" w:hAnsi="Arial" w:cs="Arial"/>
                <w:sz w:val="22"/>
                <w:szCs w:val="22"/>
              </w:rPr>
            </w:pPr>
            <w:r w:rsidRPr="006E29D7">
              <w:rPr>
                <w:rFonts w:ascii="Arial" w:hAnsi="Arial" w:cs="Arial"/>
                <w:sz w:val="22"/>
                <w:szCs w:val="22"/>
                <w:bdr w:val="none" w:sz="0" w:space="0" w:color="auto" w:frame="1"/>
                <w:lang w:val="en-GB"/>
              </w:rPr>
              <w:t>1519</w:t>
            </w:r>
          </w:p>
        </w:tc>
        <w:tc>
          <w:tcPr>
            <w:tcW w:w="849" w:type="dxa"/>
            <w:vAlign w:val="center"/>
          </w:tcPr>
          <w:p w:rsidR="000D287D" w:rsidRPr="006E29D7" w:rsidRDefault="000D287D" w:rsidP="00C64C5D">
            <w:pPr>
              <w:pStyle w:val="NormalWeb"/>
              <w:spacing w:before="0" w:beforeAutospacing="0" w:after="0" w:afterAutospacing="0"/>
              <w:jc w:val="center"/>
              <w:rPr>
                <w:rFonts w:ascii="Arial" w:hAnsi="Arial" w:cs="Arial"/>
                <w:sz w:val="22"/>
                <w:szCs w:val="22"/>
                <w:bdr w:val="none" w:sz="0" w:space="0" w:color="auto" w:frame="1"/>
                <w:lang w:val="en-GB"/>
              </w:rPr>
            </w:pPr>
            <w:r w:rsidRPr="006E29D7">
              <w:rPr>
                <w:rFonts w:ascii="Arial" w:hAnsi="Arial" w:cs="Arial"/>
                <w:sz w:val="22"/>
                <w:szCs w:val="22"/>
                <w:bdr w:val="none" w:sz="0" w:space="0" w:color="auto" w:frame="1"/>
                <w:lang w:val="en-GB"/>
              </w:rPr>
              <w:t>2,749</w:t>
            </w:r>
          </w:p>
        </w:tc>
      </w:tr>
      <w:tr w:rsidR="000D287D" w:rsidRPr="006E29D7" w:rsidTr="000D287D">
        <w:tc>
          <w:tcPr>
            <w:tcW w:w="4678" w:type="dxa"/>
          </w:tcPr>
          <w:p w:rsidR="000D287D" w:rsidRPr="006E29D7" w:rsidRDefault="000D287D" w:rsidP="00C64C5D">
            <w:pPr>
              <w:rPr>
                <w:szCs w:val="22"/>
              </w:rPr>
            </w:pPr>
            <w:r w:rsidRPr="006E29D7">
              <w:rPr>
                <w:szCs w:val="22"/>
              </w:rPr>
              <w:t>(b) total number of reports outstanding for (iv) 8-5 years,</w:t>
            </w:r>
          </w:p>
        </w:tc>
        <w:tc>
          <w:tcPr>
            <w:tcW w:w="1378" w:type="dxa"/>
            <w:vAlign w:val="center"/>
          </w:tcPr>
          <w:p w:rsidR="000D287D" w:rsidRPr="006E29D7" w:rsidRDefault="000D287D" w:rsidP="00C64C5D">
            <w:pPr>
              <w:pStyle w:val="NormalWeb"/>
              <w:spacing w:before="0" w:beforeAutospacing="0" w:after="0" w:afterAutospacing="0"/>
              <w:jc w:val="center"/>
              <w:rPr>
                <w:rFonts w:ascii="Arial" w:hAnsi="Arial" w:cs="Arial"/>
                <w:sz w:val="22"/>
                <w:szCs w:val="22"/>
              </w:rPr>
            </w:pPr>
            <w:r w:rsidRPr="006E29D7">
              <w:rPr>
                <w:rFonts w:ascii="Arial" w:hAnsi="Arial" w:cs="Arial"/>
                <w:sz w:val="22"/>
                <w:szCs w:val="22"/>
                <w:bdr w:val="none" w:sz="0" w:space="0" w:color="auto" w:frame="1"/>
                <w:lang w:val="en-GB"/>
              </w:rPr>
              <w:t>430</w:t>
            </w:r>
          </w:p>
        </w:tc>
        <w:tc>
          <w:tcPr>
            <w:tcW w:w="1459" w:type="dxa"/>
            <w:vAlign w:val="center"/>
          </w:tcPr>
          <w:p w:rsidR="000D287D" w:rsidRPr="006E29D7" w:rsidRDefault="000D287D" w:rsidP="00C64C5D">
            <w:pPr>
              <w:jc w:val="center"/>
              <w:rPr>
                <w:szCs w:val="22"/>
              </w:rPr>
            </w:pPr>
            <w:r w:rsidRPr="006E29D7">
              <w:rPr>
                <w:szCs w:val="22"/>
              </w:rPr>
              <w:t>2370</w:t>
            </w:r>
          </w:p>
        </w:tc>
        <w:tc>
          <w:tcPr>
            <w:tcW w:w="1275" w:type="dxa"/>
            <w:vAlign w:val="center"/>
          </w:tcPr>
          <w:p w:rsidR="000D287D" w:rsidRPr="006E29D7" w:rsidRDefault="000D287D" w:rsidP="00C64C5D">
            <w:pPr>
              <w:pStyle w:val="NormalWeb"/>
              <w:spacing w:before="0" w:beforeAutospacing="0" w:after="0" w:afterAutospacing="0"/>
              <w:jc w:val="center"/>
              <w:rPr>
                <w:rFonts w:ascii="Arial" w:hAnsi="Arial" w:cs="Arial"/>
                <w:sz w:val="22"/>
                <w:szCs w:val="22"/>
              </w:rPr>
            </w:pPr>
            <w:r w:rsidRPr="006E29D7">
              <w:rPr>
                <w:rFonts w:ascii="Arial" w:hAnsi="Arial" w:cs="Arial"/>
                <w:sz w:val="22"/>
                <w:szCs w:val="22"/>
                <w:bdr w:val="none" w:sz="0" w:space="0" w:color="auto" w:frame="1"/>
                <w:lang w:val="en-GB"/>
              </w:rPr>
              <w:t>2925</w:t>
            </w:r>
          </w:p>
        </w:tc>
        <w:tc>
          <w:tcPr>
            <w:tcW w:w="849" w:type="dxa"/>
            <w:vAlign w:val="center"/>
          </w:tcPr>
          <w:p w:rsidR="000D287D" w:rsidRPr="006E29D7" w:rsidRDefault="000D287D" w:rsidP="00C64C5D">
            <w:pPr>
              <w:pStyle w:val="NormalWeb"/>
              <w:spacing w:before="0" w:beforeAutospacing="0" w:after="0" w:afterAutospacing="0"/>
              <w:jc w:val="center"/>
              <w:rPr>
                <w:rFonts w:ascii="Arial" w:hAnsi="Arial" w:cs="Arial"/>
                <w:sz w:val="22"/>
                <w:szCs w:val="22"/>
                <w:bdr w:val="none" w:sz="0" w:space="0" w:color="auto" w:frame="1"/>
                <w:lang w:val="en-GB"/>
              </w:rPr>
            </w:pPr>
            <w:r w:rsidRPr="006E29D7">
              <w:rPr>
                <w:rFonts w:ascii="Arial" w:hAnsi="Arial" w:cs="Arial"/>
                <w:sz w:val="22"/>
                <w:szCs w:val="22"/>
                <w:bdr w:val="none" w:sz="0" w:space="0" w:color="auto" w:frame="1"/>
                <w:lang w:val="en-GB"/>
              </w:rPr>
              <w:t>5,725</w:t>
            </w:r>
          </w:p>
        </w:tc>
      </w:tr>
      <w:tr w:rsidR="000D287D" w:rsidRPr="006E29D7" w:rsidTr="000D287D">
        <w:tc>
          <w:tcPr>
            <w:tcW w:w="4678" w:type="dxa"/>
          </w:tcPr>
          <w:p w:rsidR="000D287D" w:rsidRPr="006E29D7" w:rsidRDefault="000D287D" w:rsidP="00C64C5D">
            <w:pPr>
              <w:rPr>
                <w:szCs w:val="22"/>
              </w:rPr>
            </w:pPr>
            <w:r w:rsidRPr="006E29D7">
              <w:rPr>
                <w:szCs w:val="22"/>
              </w:rPr>
              <w:t>(b) total number of reports outstanding for (v) 5-1 years;</w:t>
            </w:r>
          </w:p>
        </w:tc>
        <w:tc>
          <w:tcPr>
            <w:tcW w:w="1378" w:type="dxa"/>
            <w:vAlign w:val="center"/>
          </w:tcPr>
          <w:p w:rsidR="000D287D" w:rsidRPr="006E29D7" w:rsidRDefault="000D287D" w:rsidP="00C64C5D">
            <w:pPr>
              <w:pStyle w:val="NormalWeb"/>
              <w:spacing w:before="0" w:beforeAutospacing="0" w:after="0" w:afterAutospacing="0"/>
              <w:jc w:val="center"/>
              <w:rPr>
                <w:rFonts w:ascii="Arial" w:hAnsi="Arial" w:cs="Arial"/>
                <w:sz w:val="22"/>
                <w:szCs w:val="22"/>
              </w:rPr>
            </w:pPr>
            <w:r w:rsidRPr="006E29D7">
              <w:rPr>
                <w:rFonts w:ascii="Arial" w:hAnsi="Arial" w:cs="Arial"/>
                <w:sz w:val="22"/>
                <w:szCs w:val="22"/>
                <w:bdr w:val="none" w:sz="0" w:space="0" w:color="auto" w:frame="1"/>
                <w:lang w:val="en-GB"/>
              </w:rPr>
              <w:t>2484</w:t>
            </w:r>
          </w:p>
        </w:tc>
        <w:tc>
          <w:tcPr>
            <w:tcW w:w="1459" w:type="dxa"/>
            <w:vAlign w:val="center"/>
          </w:tcPr>
          <w:p w:rsidR="000D287D" w:rsidRPr="006E29D7" w:rsidRDefault="000D287D" w:rsidP="00C64C5D">
            <w:pPr>
              <w:jc w:val="center"/>
              <w:rPr>
                <w:szCs w:val="22"/>
              </w:rPr>
            </w:pPr>
            <w:r w:rsidRPr="006E29D7">
              <w:rPr>
                <w:szCs w:val="22"/>
              </w:rPr>
              <w:t>4132</w:t>
            </w:r>
          </w:p>
        </w:tc>
        <w:tc>
          <w:tcPr>
            <w:tcW w:w="1275" w:type="dxa"/>
            <w:vAlign w:val="center"/>
          </w:tcPr>
          <w:p w:rsidR="000D287D" w:rsidRPr="006E29D7" w:rsidRDefault="000D287D" w:rsidP="00C64C5D">
            <w:pPr>
              <w:pStyle w:val="NormalWeb"/>
              <w:spacing w:before="0" w:beforeAutospacing="0" w:after="0" w:afterAutospacing="0"/>
              <w:jc w:val="center"/>
              <w:rPr>
                <w:rFonts w:ascii="Arial" w:hAnsi="Arial" w:cs="Arial"/>
                <w:sz w:val="22"/>
                <w:szCs w:val="22"/>
              </w:rPr>
            </w:pPr>
            <w:r w:rsidRPr="006E29D7">
              <w:rPr>
                <w:rFonts w:ascii="Arial" w:hAnsi="Arial" w:cs="Arial"/>
                <w:sz w:val="22"/>
                <w:szCs w:val="22"/>
                <w:bdr w:val="none" w:sz="0" w:space="0" w:color="auto" w:frame="1"/>
                <w:lang w:val="en-GB"/>
              </w:rPr>
              <w:t>6108</w:t>
            </w:r>
          </w:p>
        </w:tc>
        <w:tc>
          <w:tcPr>
            <w:tcW w:w="849" w:type="dxa"/>
            <w:vAlign w:val="center"/>
          </w:tcPr>
          <w:p w:rsidR="000D287D" w:rsidRPr="006E29D7" w:rsidRDefault="000D287D" w:rsidP="00C64C5D">
            <w:pPr>
              <w:pStyle w:val="NormalWeb"/>
              <w:spacing w:before="0" w:beforeAutospacing="0" w:after="0" w:afterAutospacing="0"/>
              <w:jc w:val="center"/>
              <w:rPr>
                <w:rFonts w:ascii="Arial" w:hAnsi="Arial" w:cs="Arial"/>
                <w:sz w:val="22"/>
                <w:szCs w:val="22"/>
                <w:bdr w:val="none" w:sz="0" w:space="0" w:color="auto" w:frame="1"/>
                <w:lang w:val="en-GB"/>
              </w:rPr>
            </w:pPr>
            <w:r w:rsidRPr="006E29D7">
              <w:rPr>
                <w:rFonts w:ascii="Arial" w:hAnsi="Arial" w:cs="Arial"/>
                <w:sz w:val="22"/>
                <w:szCs w:val="22"/>
                <w:bdr w:val="none" w:sz="0" w:space="0" w:color="auto" w:frame="1"/>
                <w:lang w:val="en-GB"/>
              </w:rPr>
              <w:t>12,724</w:t>
            </w:r>
          </w:p>
        </w:tc>
      </w:tr>
    </w:tbl>
    <w:p w:rsidR="000D287D" w:rsidRPr="000D287D" w:rsidRDefault="000D287D" w:rsidP="000D287D">
      <w:pPr>
        <w:pStyle w:val="NoSpacing"/>
        <w:ind w:left="720"/>
        <w:jc w:val="both"/>
        <w:rPr>
          <w:rFonts w:ascii="Arial" w:hAnsi="Arial" w:cs="Arial"/>
          <w:noProof/>
          <w:sz w:val="22"/>
          <w:szCs w:val="22"/>
          <w:lang w:val="af-ZA"/>
        </w:rPr>
      </w:pPr>
      <w:r w:rsidRPr="000D287D">
        <w:rPr>
          <w:rFonts w:ascii="Arial" w:hAnsi="Arial" w:cs="Arial"/>
          <w:noProof/>
          <w:sz w:val="22"/>
          <w:szCs w:val="22"/>
          <w:lang w:val="af-ZA"/>
        </w:rPr>
        <w:t>*As at 30 September 2020</w:t>
      </w:r>
    </w:p>
    <w:p w:rsidR="000D287D" w:rsidRPr="007715D8" w:rsidRDefault="000D287D" w:rsidP="000D287D">
      <w:pPr>
        <w:pStyle w:val="NoSpacing"/>
        <w:jc w:val="both"/>
        <w:rPr>
          <w:rFonts w:ascii="Arial" w:hAnsi="Arial" w:cs="Arial"/>
          <w:noProof/>
          <w:lang w:val="af-ZA"/>
        </w:rPr>
      </w:pPr>
    </w:p>
    <w:p w:rsidR="000D287D" w:rsidRPr="000D287D" w:rsidRDefault="000D287D" w:rsidP="000D287D">
      <w:pPr>
        <w:pStyle w:val="NoSpacing"/>
        <w:numPr>
          <w:ilvl w:val="0"/>
          <w:numId w:val="4"/>
        </w:numPr>
        <w:ind w:hanging="720"/>
        <w:jc w:val="both"/>
        <w:rPr>
          <w:rFonts w:ascii="Arial" w:hAnsi="Arial" w:cs="Arial"/>
        </w:rPr>
      </w:pPr>
      <w:r w:rsidRPr="007715D8">
        <w:rPr>
          <w:rFonts w:ascii="Arial" w:hAnsi="Arial" w:cs="Arial"/>
          <w:noProof/>
          <w:lang w:val="af-ZA"/>
        </w:rPr>
        <w:t xml:space="preserve">(a) </w:t>
      </w:r>
      <w:r>
        <w:rPr>
          <w:rFonts w:ascii="Arial" w:hAnsi="Arial" w:cs="Arial"/>
          <w:noProof/>
          <w:lang w:val="af-ZA"/>
        </w:rPr>
        <w:tab/>
      </w:r>
      <w:r w:rsidRPr="007715D8">
        <w:rPr>
          <w:rFonts w:ascii="Arial" w:hAnsi="Arial" w:cs="Arial"/>
          <w:noProof/>
          <w:lang w:val="af-ZA"/>
        </w:rPr>
        <w:t>The reasons for the backlogs are:</w:t>
      </w:r>
    </w:p>
    <w:p w:rsidR="000D287D" w:rsidRDefault="000D287D" w:rsidP="000D287D">
      <w:pPr>
        <w:pStyle w:val="NoSpacing"/>
        <w:ind w:left="720"/>
        <w:jc w:val="both"/>
        <w:rPr>
          <w:rFonts w:ascii="Arial" w:hAnsi="Arial" w:cs="Arial"/>
          <w:noProof/>
          <w:lang w:val="af-ZA"/>
        </w:rPr>
      </w:pPr>
    </w:p>
    <w:p w:rsidR="000D287D" w:rsidRDefault="000D287D" w:rsidP="000D287D">
      <w:pPr>
        <w:pStyle w:val="NoSpacing"/>
        <w:numPr>
          <w:ilvl w:val="0"/>
          <w:numId w:val="7"/>
        </w:numPr>
        <w:jc w:val="both"/>
        <w:rPr>
          <w:rFonts w:ascii="Arial" w:hAnsi="Arial" w:cs="Arial"/>
        </w:rPr>
      </w:pPr>
      <w:r w:rsidRPr="007715D8">
        <w:rPr>
          <w:rFonts w:ascii="Arial" w:hAnsi="Arial" w:cs="Arial"/>
        </w:rPr>
        <w:t xml:space="preserve">The number of unprocessed samples indicated in the table above, include approximately 12,315 cases (multiple samples per case) without SAPS CAS (Case Administration System) numbers. The mandate of the Forensic Chemistry Laboratories (FCLs) is to </w:t>
      </w:r>
      <w:proofErr w:type="spellStart"/>
      <w:r w:rsidRPr="007715D8">
        <w:rPr>
          <w:rFonts w:ascii="Arial" w:hAnsi="Arial" w:cs="Arial"/>
        </w:rPr>
        <w:t>analyse</w:t>
      </w:r>
      <w:proofErr w:type="spellEnd"/>
      <w:r w:rsidRPr="007715D8">
        <w:rPr>
          <w:rFonts w:ascii="Arial" w:hAnsi="Arial" w:cs="Arial"/>
        </w:rPr>
        <w:t xml:space="preserve"> only samples with SAPS CAS numbers – these cases will thus only be tested upon request of the SAPS Investigating Officer or relevant Forensic Pathologist.</w:t>
      </w:r>
    </w:p>
    <w:p w:rsidR="000D287D" w:rsidRDefault="000D287D" w:rsidP="000D287D">
      <w:pPr>
        <w:pStyle w:val="NoSpacing"/>
        <w:ind w:left="2160"/>
        <w:jc w:val="both"/>
        <w:rPr>
          <w:rFonts w:ascii="Arial" w:hAnsi="Arial" w:cs="Arial"/>
        </w:rPr>
      </w:pPr>
    </w:p>
    <w:p w:rsidR="000D287D" w:rsidRPr="000D287D" w:rsidRDefault="000D287D" w:rsidP="000D287D">
      <w:pPr>
        <w:pStyle w:val="NoSpacing"/>
        <w:numPr>
          <w:ilvl w:val="0"/>
          <w:numId w:val="7"/>
        </w:numPr>
        <w:jc w:val="both"/>
        <w:rPr>
          <w:rFonts w:ascii="Arial" w:hAnsi="Arial" w:cs="Arial"/>
        </w:rPr>
      </w:pPr>
      <w:r w:rsidRPr="000D287D">
        <w:rPr>
          <w:rFonts w:ascii="Arial" w:hAnsi="Arial" w:cs="Arial"/>
        </w:rPr>
        <w:lastRenderedPageBreak/>
        <w:t>Of the 28,181 unprocessed cases as at 30 November 2020, only 16,550 cases contain CAS numbers.</w:t>
      </w:r>
    </w:p>
    <w:p w:rsidR="000D287D" w:rsidRPr="007715D8" w:rsidRDefault="000D287D" w:rsidP="000D287D">
      <w:pPr>
        <w:pStyle w:val="NoSpacing"/>
        <w:ind w:left="720"/>
        <w:jc w:val="both"/>
        <w:rPr>
          <w:rFonts w:ascii="Arial" w:hAnsi="Arial" w:cs="Arial"/>
        </w:rPr>
      </w:pPr>
    </w:p>
    <w:p w:rsidR="000D287D" w:rsidRDefault="000D287D" w:rsidP="000D287D">
      <w:pPr>
        <w:pStyle w:val="NoSpacing"/>
        <w:ind w:left="720"/>
        <w:jc w:val="both"/>
        <w:rPr>
          <w:rFonts w:ascii="Arial" w:hAnsi="Arial" w:cs="Arial"/>
        </w:rPr>
      </w:pPr>
      <w:r w:rsidRPr="007715D8">
        <w:rPr>
          <w:rFonts w:ascii="Arial" w:hAnsi="Arial" w:cs="Arial"/>
        </w:rPr>
        <w:t xml:space="preserve">(b) </w:t>
      </w:r>
      <w:r>
        <w:rPr>
          <w:rFonts w:ascii="Arial" w:hAnsi="Arial" w:cs="Arial"/>
        </w:rPr>
        <w:tab/>
      </w:r>
      <w:r w:rsidRPr="007715D8">
        <w:rPr>
          <w:rFonts w:ascii="Arial" w:hAnsi="Arial" w:cs="Arial"/>
        </w:rPr>
        <w:t>The following measures are employed to address the backlog:</w:t>
      </w:r>
    </w:p>
    <w:p w:rsidR="000D287D" w:rsidRDefault="000D287D" w:rsidP="000D287D">
      <w:pPr>
        <w:pStyle w:val="NoSpacing"/>
        <w:ind w:left="720"/>
        <w:jc w:val="both"/>
        <w:rPr>
          <w:rFonts w:ascii="Arial" w:hAnsi="Arial" w:cs="Arial"/>
        </w:rPr>
      </w:pPr>
    </w:p>
    <w:p w:rsidR="000D287D" w:rsidRDefault="000D287D" w:rsidP="000D287D">
      <w:pPr>
        <w:pStyle w:val="NoSpacing"/>
        <w:numPr>
          <w:ilvl w:val="0"/>
          <w:numId w:val="6"/>
        </w:numPr>
        <w:ind w:left="2127" w:hanging="644"/>
        <w:jc w:val="both"/>
        <w:rPr>
          <w:rFonts w:ascii="Arial" w:hAnsi="Arial" w:cs="Arial"/>
        </w:rPr>
      </w:pPr>
      <w:r w:rsidRPr="000D287D">
        <w:rPr>
          <w:rFonts w:ascii="Arial" w:hAnsi="Arial" w:cs="Arial"/>
        </w:rPr>
        <w:t>The laboratories are working overtime on weekends in order to decrease the backlog.</w:t>
      </w:r>
    </w:p>
    <w:p w:rsidR="000D287D" w:rsidRDefault="000D287D" w:rsidP="000D287D">
      <w:pPr>
        <w:pStyle w:val="NoSpacing"/>
        <w:ind w:left="2127"/>
        <w:jc w:val="both"/>
        <w:rPr>
          <w:rFonts w:ascii="Arial" w:hAnsi="Arial" w:cs="Arial"/>
        </w:rPr>
      </w:pPr>
    </w:p>
    <w:p w:rsidR="000D287D" w:rsidRDefault="000D287D" w:rsidP="000D287D">
      <w:pPr>
        <w:pStyle w:val="NoSpacing"/>
        <w:numPr>
          <w:ilvl w:val="0"/>
          <w:numId w:val="6"/>
        </w:numPr>
        <w:ind w:left="2127" w:hanging="644"/>
        <w:jc w:val="both"/>
        <w:rPr>
          <w:rFonts w:ascii="Arial" w:hAnsi="Arial" w:cs="Arial"/>
        </w:rPr>
      </w:pPr>
      <w:r w:rsidRPr="000D287D">
        <w:rPr>
          <w:rFonts w:ascii="Arial" w:hAnsi="Arial" w:cs="Arial"/>
        </w:rPr>
        <w:t>Cases are prioritized for Court purposes, to assist families of the deceased to finalize insurance claims, or when children are involved.</w:t>
      </w:r>
    </w:p>
    <w:p w:rsidR="000D287D" w:rsidRDefault="000D287D" w:rsidP="000D287D">
      <w:pPr>
        <w:pStyle w:val="ListParagraph"/>
      </w:pPr>
    </w:p>
    <w:p w:rsidR="000D287D" w:rsidRDefault="000D287D" w:rsidP="000D287D">
      <w:pPr>
        <w:pStyle w:val="NoSpacing"/>
        <w:numPr>
          <w:ilvl w:val="0"/>
          <w:numId w:val="6"/>
        </w:numPr>
        <w:ind w:left="2127" w:hanging="644"/>
        <w:jc w:val="both"/>
        <w:rPr>
          <w:rFonts w:ascii="Arial" w:hAnsi="Arial" w:cs="Arial"/>
        </w:rPr>
      </w:pPr>
      <w:r w:rsidRPr="000D287D">
        <w:rPr>
          <w:rFonts w:ascii="Arial" w:hAnsi="Arial" w:cs="Arial"/>
        </w:rPr>
        <w:t>In terms of the Toxicology samples without CAS numbers, another engagement with Pathologists will take place to further discuss this matter with them.  It should be seriously considered to destroy the toxicology cases that do not have CAS numbers.</w:t>
      </w:r>
    </w:p>
    <w:p w:rsidR="000D287D" w:rsidRDefault="000D287D" w:rsidP="000D287D">
      <w:pPr>
        <w:pStyle w:val="ListParagraph"/>
      </w:pPr>
    </w:p>
    <w:p w:rsidR="000D287D" w:rsidRDefault="000D287D" w:rsidP="000D287D">
      <w:pPr>
        <w:pStyle w:val="NoSpacing"/>
        <w:numPr>
          <w:ilvl w:val="0"/>
          <w:numId w:val="6"/>
        </w:numPr>
        <w:ind w:left="2127" w:hanging="644"/>
        <w:jc w:val="both"/>
        <w:rPr>
          <w:rFonts w:ascii="Arial" w:hAnsi="Arial" w:cs="Arial"/>
        </w:rPr>
      </w:pPr>
      <w:r w:rsidRPr="000D287D">
        <w:rPr>
          <w:rFonts w:ascii="Arial" w:hAnsi="Arial" w:cs="Arial"/>
        </w:rPr>
        <w:t>Urgent filling of crucial vacancies.</w:t>
      </w:r>
    </w:p>
    <w:p w:rsidR="000D287D" w:rsidRDefault="000D287D" w:rsidP="000D287D">
      <w:pPr>
        <w:pStyle w:val="ListParagraph"/>
      </w:pPr>
    </w:p>
    <w:p w:rsidR="000D287D" w:rsidRPr="000D287D" w:rsidRDefault="000D287D" w:rsidP="000D287D">
      <w:pPr>
        <w:pStyle w:val="NoSpacing"/>
        <w:numPr>
          <w:ilvl w:val="0"/>
          <w:numId w:val="6"/>
        </w:numPr>
        <w:ind w:left="2127" w:hanging="644"/>
        <w:jc w:val="both"/>
        <w:rPr>
          <w:rFonts w:ascii="Arial" w:hAnsi="Arial" w:cs="Arial"/>
        </w:rPr>
      </w:pPr>
      <w:r w:rsidRPr="000D287D">
        <w:rPr>
          <w:rFonts w:ascii="Arial" w:hAnsi="Arial" w:cs="Arial"/>
        </w:rPr>
        <w:t>There will be an engagement with the National Treasury to source additional funding for a building for the Pretoria Forensic Chemistry Laboratory. There were discussions with the CSIR which has space, however, the issue is lack of funding.</w:t>
      </w:r>
    </w:p>
    <w:p w:rsidR="000D287D" w:rsidRPr="007715D8" w:rsidRDefault="000D287D" w:rsidP="000D287D">
      <w:pPr>
        <w:pStyle w:val="NoSpacing"/>
        <w:ind w:left="1440"/>
        <w:jc w:val="both"/>
        <w:rPr>
          <w:rFonts w:ascii="Arial" w:hAnsi="Arial" w:cs="Arial"/>
        </w:rPr>
      </w:pPr>
    </w:p>
    <w:p w:rsidR="000D287D" w:rsidRPr="007715D8" w:rsidRDefault="006E29D7" w:rsidP="006E29D7">
      <w:pPr>
        <w:pStyle w:val="NoSpacing"/>
        <w:numPr>
          <w:ilvl w:val="0"/>
          <w:numId w:val="4"/>
        </w:numPr>
        <w:ind w:hanging="720"/>
        <w:jc w:val="both"/>
        <w:rPr>
          <w:rFonts w:ascii="Arial" w:hAnsi="Arial" w:cs="Arial"/>
        </w:rPr>
      </w:pPr>
      <w:r>
        <w:rPr>
          <w:rFonts w:ascii="Arial" w:hAnsi="Arial" w:cs="Arial"/>
        </w:rPr>
        <w:t>I will make a statement at the appropriate time</w:t>
      </w:r>
      <w:r w:rsidR="000D287D" w:rsidRPr="007715D8">
        <w:rPr>
          <w:rFonts w:ascii="Arial" w:hAnsi="Arial" w:cs="Arial"/>
        </w:rPr>
        <w:t>.</w:t>
      </w:r>
    </w:p>
    <w:p w:rsidR="00C9012E" w:rsidRPr="00732633" w:rsidRDefault="00C9012E" w:rsidP="000D287D">
      <w:pPr>
        <w:pStyle w:val="NoSpacing"/>
        <w:ind w:left="720"/>
        <w:jc w:val="both"/>
        <w:rPr>
          <w:rFonts w:ascii="Arial" w:hAnsi="Arial" w:cs="Arial"/>
        </w:rPr>
      </w:pPr>
    </w:p>
    <w:p w:rsidR="002D7013" w:rsidRDefault="002D7013" w:rsidP="004E4DD8">
      <w:pPr>
        <w:pStyle w:val="BodyText"/>
        <w:rPr>
          <w:sz w:val="24"/>
          <w:lang w:val="en-GB"/>
        </w:rPr>
      </w:pPr>
    </w:p>
    <w:p w:rsidR="00445448" w:rsidRPr="00445448" w:rsidRDefault="00E238C2" w:rsidP="00BB6DED">
      <w:pPr>
        <w:pStyle w:val="BodyText"/>
        <w:rPr>
          <w:sz w:val="24"/>
          <w:lang w:val="en-GB"/>
        </w:rPr>
      </w:pPr>
      <w:r w:rsidRPr="00253510">
        <w:rPr>
          <w:sz w:val="24"/>
          <w:lang w:val="en-GB"/>
        </w:rPr>
        <w:t>END.</w:t>
      </w: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28C" w:rsidRDefault="0094128C">
      <w:r>
        <w:separator/>
      </w:r>
    </w:p>
  </w:endnote>
  <w:endnote w:type="continuationSeparator" w:id="0">
    <w:p w:rsidR="0094128C" w:rsidRDefault="00941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55880">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55880">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2E0A69">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28C" w:rsidRDefault="0094128C">
      <w:r>
        <w:separator/>
      </w:r>
    </w:p>
  </w:footnote>
  <w:footnote w:type="continuationSeparator" w:id="0">
    <w:p w:rsidR="0094128C" w:rsidRDefault="00941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A6B93"/>
    <w:multiLevelType w:val="hybridMultilevel"/>
    <w:tmpl w:val="F4BEAC9C"/>
    <w:lvl w:ilvl="0" w:tplc="2FD2E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BF65FBA"/>
    <w:multiLevelType w:val="hybridMultilevel"/>
    <w:tmpl w:val="1DD6E65C"/>
    <w:lvl w:ilvl="0" w:tplc="10B8CA74">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1793E0F"/>
    <w:multiLevelType w:val="hybridMultilevel"/>
    <w:tmpl w:val="28106A84"/>
    <w:lvl w:ilvl="0" w:tplc="7ADE36F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1AE77F9"/>
    <w:multiLevelType w:val="hybridMultilevel"/>
    <w:tmpl w:val="20FA80F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5B0C1CF6"/>
    <w:multiLevelType w:val="hybridMultilevel"/>
    <w:tmpl w:val="58C28846"/>
    <w:lvl w:ilvl="0" w:tplc="92320DA8">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6B3E6E2F"/>
    <w:multiLevelType w:val="hybridMultilevel"/>
    <w:tmpl w:val="C07014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4B75D07"/>
    <w:multiLevelType w:val="hybridMultilevel"/>
    <w:tmpl w:val="90884ADC"/>
    <w:lvl w:ilvl="0" w:tplc="CC14A5DC">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2"/>
  </w:num>
  <w:num w:numId="4">
    <w:abstractNumId w:val="0"/>
  </w:num>
  <w:num w:numId="5">
    <w:abstractNumId w:val="5"/>
  </w:num>
  <w:num w:numId="6">
    <w:abstractNumId w:val="3"/>
  </w:num>
  <w:num w:numId="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75E"/>
    <w:rsid w:val="0000585F"/>
    <w:rsid w:val="00007447"/>
    <w:rsid w:val="00012AE9"/>
    <w:rsid w:val="0002288F"/>
    <w:rsid w:val="00025DC9"/>
    <w:rsid w:val="0004183B"/>
    <w:rsid w:val="00052C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287D"/>
    <w:rsid w:val="000D4C33"/>
    <w:rsid w:val="000F059B"/>
    <w:rsid w:val="000F3BF5"/>
    <w:rsid w:val="000F50B5"/>
    <w:rsid w:val="000F64EE"/>
    <w:rsid w:val="0010050F"/>
    <w:rsid w:val="001011A6"/>
    <w:rsid w:val="00103056"/>
    <w:rsid w:val="00103544"/>
    <w:rsid w:val="00105E3C"/>
    <w:rsid w:val="00107743"/>
    <w:rsid w:val="0011153B"/>
    <w:rsid w:val="001126D2"/>
    <w:rsid w:val="00134634"/>
    <w:rsid w:val="00150F90"/>
    <w:rsid w:val="00160BDE"/>
    <w:rsid w:val="001646AE"/>
    <w:rsid w:val="001651E2"/>
    <w:rsid w:val="00172010"/>
    <w:rsid w:val="001738BD"/>
    <w:rsid w:val="00182D05"/>
    <w:rsid w:val="00186E43"/>
    <w:rsid w:val="001913DE"/>
    <w:rsid w:val="001A0653"/>
    <w:rsid w:val="001A47AC"/>
    <w:rsid w:val="001A492B"/>
    <w:rsid w:val="001A5759"/>
    <w:rsid w:val="001B62F5"/>
    <w:rsid w:val="001B67CA"/>
    <w:rsid w:val="001C0252"/>
    <w:rsid w:val="001C2FB1"/>
    <w:rsid w:val="001C433A"/>
    <w:rsid w:val="001C4B60"/>
    <w:rsid w:val="001C7638"/>
    <w:rsid w:val="001C79BF"/>
    <w:rsid w:val="001D2E01"/>
    <w:rsid w:val="001D309F"/>
    <w:rsid w:val="001D45DB"/>
    <w:rsid w:val="001E3BF8"/>
    <w:rsid w:val="001E53FE"/>
    <w:rsid w:val="001E6713"/>
    <w:rsid w:val="001E7247"/>
    <w:rsid w:val="001F4EEA"/>
    <w:rsid w:val="002024FD"/>
    <w:rsid w:val="00202CF5"/>
    <w:rsid w:val="00215E53"/>
    <w:rsid w:val="002242A9"/>
    <w:rsid w:val="002323A5"/>
    <w:rsid w:val="00233C3B"/>
    <w:rsid w:val="0024216E"/>
    <w:rsid w:val="002440B3"/>
    <w:rsid w:val="00245311"/>
    <w:rsid w:val="00252CCB"/>
    <w:rsid w:val="00253510"/>
    <w:rsid w:val="00266835"/>
    <w:rsid w:val="00267FDF"/>
    <w:rsid w:val="00271665"/>
    <w:rsid w:val="002A0E7D"/>
    <w:rsid w:val="002A5288"/>
    <w:rsid w:val="002B20CB"/>
    <w:rsid w:val="002B32D0"/>
    <w:rsid w:val="002B5ACB"/>
    <w:rsid w:val="002B6E08"/>
    <w:rsid w:val="002C1A8C"/>
    <w:rsid w:val="002C2248"/>
    <w:rsid w:val="002D4F89"/>
    <w:rsid w:val="002D571D"/>
    <w:rsid w:val="002D7013"/>
    <w:rsid w:val="002E0A69"/>
    <w:rsid w:val="002E23F0"/>
    <w:rsid w:val="002E3FA9"/>
    <w:rsid w:val="002F747D"/>
    <w:rsid w:val="00300051"/>
    <w:rsid w:val="00311920"/>
    <w:rsid w:val="0031798D"/>
    <w:rsid w:val="00322778"/>
    <w:rsid w:val="00324E36"/>
    <w:rsid w:val="00330A1B"/>
    <w:rsid w:val="00337FE4"/>
    <w:rsid w:val="00342774"/>
    <w:rsid w:val="00346CE1"/>
    <w:rsid w:val="0034705D"/>
    <w:rsid w:val="003516EF"/>
    <w:rsid w:val="00355BB7"/>
    <w:rsid w:val="00357A10"/>
    <w:rsid w:val="00366B08"/>
    <w:rsid w:val="00366E06"/>
    <w:rsid w:val="0038043F"/>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3807"/>
    <w:rsid w:val="00434530"/>
    <w:rsid w:val="0043501B"/>
    <w:rsid w:val="004359D4"/>
    <w:rsid w:val="00435FC4"/>
    <w:rsid w:val="00445448"/>
    <w:rsid w:val="004456A9"/>
    <w:rsid w:val="0045368D"/>
    <w:rsid w:val="00455941"/>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C5286"/>
    <w:rsid w:val="004C740F"/>
    <w:rsid w:val="004D43CB"/>
    <w:rsid w:val="004D4DBF"/>
    <w:rsid w:val="004D72A8"/>
    <w:rsid w:val="004E4DD8"/>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2671"/>
    <w:rsid w:val="00576020"/>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5F76D8"/>
    <w:rsid w:val="00600F82"/>
    <w:rsid w:val="00610BC7"/>
    <w:rsid w:val="00615DD6"/>
    <w:rsid w:val="006175C7"/>
    <w:rsid w:val="00623A49"/>
    <w:rsid w:val="00623E12"/>
    <w:rsid w:val="00633ADE"/>
    <w:rsid w:val="00635745"/>
    <w:rsid w:val="00635890"/>
    <w:rsid w:val="00635F4E"/>
    <w:rsid w:val="00637291"/>
    <w:rsid w:val="0063794C"/>
    <w:rsid w:val="006467A4"/>
    <w:rsid w:val="00646F50"/>
    <w:rsid w:val="006664AE"/>
    <w:rsid w:val="00672C5D"/>
    <w:rsid w:val="00674FC6"/>
    <w:rsid w:val="006779D4"/>
    <w:rsid w:val="00680DFB"/>
    <w:rsid w:val="006814ED"/>
    <w:rsid w:val="00683343"/>
    <w:rsid w:val="00683E46"/>
    <w:rsid w:val="00691A09"/>
    <w:rsid w:val="006A34EA"/>
    <w:rsid w:val="006B2324"/>
    <w:rsid w:val="006C67FA"/>
    <w:rsid w:val="006E29D7"/>
    <w:rsid w:val="006E6A77"/>
    <w:rsid w:val="006E6C41"/>
    <w:rsid w:val="006E7310"/>
    <w:rsid w:val="006E77B3"/>
    <w:rsid w:val="006E7C45"/>
    <w:rsid w:val="006F221E"/>
    <w:rsid w:val="006F3DB9"/>
    <w:rsid w:val="006F4912"/>
    <w:rsid w:val="006F501B"/>
    <w:rsid w:val="006F7E16"/>
    <w:rsid w:val="00700B0D"/>
    <w:rsid w:val="00721839"/>
    <w:rsid w:val="00725063"/>
    <w:rsid w:val="00730651"/>
    <w:rsid w:val="00735915"/>
    <w:rsid w:val="00757359"/>
    <w:rsid w:val="00762416"/>
    <w:rsid w:val="00770C17"/>
    <w:rsid w:val="00771EB2"/>
    <w:rsid w:val="00773A22"/>
    <w:rsid w:val="00783312"/>
    <w:rsid w:val="007939D1"/>
    <w:rsid w:val="007A0D02"/>
    <w:rsid w:val="007A3E1B"/>
    <w:rsid w:val="007A6FF8"/>
    <w:rsid w:val="007B50D8"/>
    <w:rsid w:val="007C1F51"/>
    <w:rsid w:val="007C64DB"/>
    <w:rsid w:val="007E014D"/>
    <w:rsid w:val="007E1E23"/>
    <w:rsid w:val="007E60FE"/>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5D7"/>
    <w:rsid w:val="00846CD4"/>
    <w:rsid w:val="00856686"/>
    <w:rsid w:val="008603CC"/>
    <w:rsid w:val="0086637B"/>
    <w:rsid w:val="00872A46"/>
    <w:rsid w:val="00891B7A"/>
    <w:rsid w:val="008A2BAB"/>
    <w:rsid w:val="008A3433"/>
    <w:rsid w:val="008A34C5"/>
    <w:rsid w:val="008B7C94"/>
    <w:rsid w:val="008C0456"/>
    <w:rsid w:val="008C3326"/>
    <w:rsid w:val="008C3EB8"/>
    <w:rsid w:val="008D2430"/>
    <w:rsid w:val="008D437A"/>
    <w:rsid w:val="008D749E"/>
    <w:rsid w:val="008F081F"/>
    <w:rsid w:val="008F1C96"/>
    <w:rsid w:val="0090105B"/>
    <w:rsid w:val="00901F0B"/>
    <w:rsid w:val="009112C9"/>
    <w:rsid w:val="00911C54"/>
    <w:rsid w:val="0091259B"/>
    <w:rsid w:val="00921664"/>
    <w:rsid w:val="00923623"/>
    <w:rsid w:val="0092641E"/>
    <w:rsid w:val="00931B18"/>
    <w:rsid w:val="00931F06"/>
    <w:rsid w:val="00932B09"/>
    <w:rsid w:val="009342E8"/>
    <w:rsid w:val="00934533"/>
    <w:rsid w:val="00934D52"/>
    <w:rsid w:val="0094128C"/>
    <w:rsid w:val="009448C9"/>
    <w:rsid w:val="00952EC0"/>
    <w:rsid w:val="00954B58"/>
    <w:rsid w:val="00960541"/>
    <w:rsid w:val="00967924"/>
    <w:rsid w:val="009756B6"/>
    <w:rsid w:val="009763CC"/>
    <w:rsid w:val="00976AC7"/>
    <w:rsid w:val="00980B87"/>
    <w:rsid w:val="0098235C"/>
    <w:rsid w:val="009855D2"/>
    <w:rsid w:val="009873B3"/>
    <w:rsid w:val="009875E5"/>
    <w:rsid w:val="009922DD"/>
    <w:rsid w:val="00993155"/>
    <w:rsid w:val="009934AA"/>
    <w:rsid w:val="00993EB4"/>
    <w:rsid w:val="00994DA3"/>
    <w:rsid w:val="00997EC4"/>
    <w:rsid w:val="009A2424"/>
    <w:rsid w:val="009A3F64"/>
    <w:rsid w:val="009A3FC4"/>
    <w:rsid w:val="009C00C3"/>
    <w:rsid w:val="009C0CEE"/>
    <w:rsid w:val="009C5850"/>
    <w:rsid w:val="009D2E42"/>
    <w:rsid w:val="009D3DA5"/>
    <w:rsid w:val="009D62A1"/>
    <w:rsid w:val="009E05A5"/>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1CEC"/>
    <w:rsid w:val="00A6048F"/>
    <w:rsid w:val="00A7509E"/>
    <w:rsid w:val="00A75E41"/>
    <w:rsid w:val="00A80F10"/>
    <w:rsid w:val="00A87CFA"/>
    <w:rsid w:val="00A90266"/>
    <w:rsid w:val="00AB02DE"/>
    <w:rsid w:val="00AB0EAC"/>
    <w:rsid w:val="00AB2A36"/>
    <w:rsid w:val="00AB3C74"/>
    <w:rsid w:val="00AC6AC3"/>
    <w:rsid w:val="00AD5F10"/>
    <w:rsid w:val="00AF11C7"/>
    <w:rsid w:val="00B02990"/>
    <w:rsid w:val="00B0762E"/>
    <w:rsid w:val="00B15831"/>
    <w:rsid w:val="00B221F7"/>
    <w:rsid w:val="00B23C6B"/>
    <w:rsid w:val="00B2423A"/>
    <w:rsid w:val="00B30D8D"/>
    <w:rsid w:val="00B321D5"/>
    <w:rsid w:val="00B32D4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C4F60"/>
    <w:rsid w:val="00BC587A"/>
    <w:rsid w:val="00BC6E9C"/>
    <w:rsid w:val="00BC7E1F"/>
    <w:rsid w:val="00BD4034"/>
    <w:rsid w:val="00BD5901"/>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2FC4"/>
    <w:rsid w:val="00C64DD4"/>
    <w:rsid w:val="00C71939"/>
    <w:rsid w:val="00C723FE"/>
    <w:rsid w:val="00C82762"/>
    <w:rsid w:val="00C9012E"/>
    <w:rsid w:val="00C91D4D"/>
    <w:rsid w:val="00C97997"/>
    <w:rsid w:val="00CA0E36"/>
    <w:rsid w:val="00CB41D7"/>
    <w:rsid w:val="00CB7839"/>
    <w:rsid w:val="00CB7B23"/>
    <w:rsid w:val="00CC61F7"/>
    <w:rsid w:val="00CD1A81"/>
    <w:rsid w:val="00CF60D1"/>
    <w:rsid w:val="00CF7476"/>
    <w:rsid w:val="00D034F1"/>
    <w:rsid w:val="00D04106"/>
    <w:rsid w:val="00D05EA8"/>
    <w:rsid w:val="00D05FA5"/>
    <w:rsid w:val="00D06D6D"/>
    <w:rsid w:val="00D07FF1"/>
    <w:rsid w:val="00D13649"/>
    <w:rsid w:val="00D21320"/>
    <w:rsid w:val="00D21DC3"/>
    <w:rsid w:val="00D223AF"/>
    <w:rsid w:val="00D23E84"/>
    <w:rsid w:val="00D25443"/>
    <w:rsid w:val="00D31C9F"/>
    <w:rsid w:val="00D3794A"/>
    <w:rsid w:val="00D45BA5"/>
    <w:rsid w:val="00D50BCC"/>
    <w:rsid w:val="00D5344B"/>
    <w:rsid w:val="00D5360E"/>
    <w:rsid w:val="00D6513F"/>
    <w:rsid w:val="00D67753"/>
    <w:rsid w:val="00D7008E"/>
    <w:rsid w:val="00D73A46"/>
    <w:rsid w:val="00D75166"/>
    <w:rsid w:val="00D81183"/>
    <w:rsid w:val="00D821B8"/>
    <w:rsid w:val="00D84ADA"/>
    <w:rsid w:val="00D84AEC"/>
    <w:rsid w:val="00D8624D"/>
    <w:rsid w:val="00D94626"/>
    <w:rsid w:val="00D97161"/>
    <w:rsid w:val="00DA3E25"/>
    <w:rsid w:val="00DA6F68"/>
    <w:rsid w:val="00DC1DD2"/>
    <w:rsid w:val="00DC2D05"/>
    <w:rsid w:val="00DC3CB3"/>
    <w:rsid w:val="00DC594A"/>
    <w:rsid w:val="00DC7AE6"/>
    <w:rsid w:val="00DE233C"/>
    <w:rsid w:val="00DE4636"/>
    <w:rsid w:val="00DE787B"/>
    <w:rsid w:val="00DF6212"/>
    <w:rsid w:val="00E040FD"/>
    <w:rsid w:val="00E067DD"/>
    <w:rsid w:val="00E11BD3"/>
    <w:rsid w:val="00E1432D"/>
    <w:rsid w:val="00E161FB"/>
    <w:rsid w:val="00E203DD"/>
    <w:rsid w:val="00E238C2"/>
    <w:rsid w:val="00E27656"/>
    <w:rsid w:val="00E343BE"/>
    <w:rsid w:val="00E363A3"/>
    <w:rsid w:val="00E42417"/>
    <w:rsid w:val="00E43571"/>
    <w:rsid w:val="00E442A4"/>
    <w:rsid w:val="00E471EC"/>
    <w:rsid w:val="00E61438"/>
    <w:rsid w:val="00E61656"/>
    <w:rsid w:val="00E63733"/>
    <w:rsid w:val="00E6419C"/>
    <w:rsid w:val="00E70BD1"/>
    <w:rsid w:val="00E75A81"/>
    <w:rsid w:val="00E76C96"/>
    <w:rsid w:val="00E77291"/>
    <w:rsid w:val="00E82EED"/>
    <w:rsid w:val="00E85240"/>
    <w:rsid w:val="00E90128"/>
    <w:rsid w:val="00E943DE"/>
    <w:rsid w:val="00EA2E04"/>
    <w:rsid w:val="00EA464E"/>
    <w:rsid w:val="00EB064F"/>
    <w:rsid w:val="00EB5DC4"/>
    <w:rsid w:val="00EC759B"/>
    <w:rsid w:val="00ED527A"/>
    <w:rsid w:val="00EE56A6"/>
    <w:rsid w:val="00EF7FEE"/>
    <w:rsid w:val="00F006CF"/>
    <w:rsid w:val="00F013CD"/>
    <w:rsid w:val="00F0248A"/>
    <w:rsid w:val="00F0467C"/>
    <w:rsid w:val="00F04DC6"/>
    <w:rsid w:val="00F052FE"/>
    <w:rsid w:val="00F1203C"/>
    <w:rsid w:val="00F14236"/>
    <w:rsid w:val="00F22118"/>
    <w:rsid w:val="00F2300D"/>
    <w:rsid w:val="00F24479"/>
    <w:rsid w:val="00F27780"/>
    <w:rsid w:val="00F301C0"/>
    <w:rsid w:val="00F3238C"/>
    <w:rsid w:val="00F467DC"/>
    <w:rsid w:val="00F46E85"/>
    <w:rsid w:val="00F474F3"/>
    <w:rsid w:val="00F50C55"/>
    <w:rsid w:val="00F50E33"/>
    <w:rsid w:val="00F54CEC"/>
    <w:rsid w:val="00F55880"/>
    <w:rsid w:val="00F6642C"/>
    <w:rsid w:val="00F70EBE"/>
    <w:rsid w:val="00F7399B"/>
    <w:rsid w:val="00F75B9B"/>
    <w:rsid w:val="00F84286"/>
    <w:rsid w:val="00F86457"/>
    <w:rsid w:val="00F966C3"/>
    <w:rsid w:val="00FA20AC"/>
    <w:rsid w:val="00FA6D26"/>
    <w:rsid w:val="00FB5A74"/>
    <w:rsid w:val="00FC3262"/>
    <w:rsid w:val="00FD42B3"/>
    <w:rsid w:val="00FE00A3"/>
    <w:rsid w:val="00FE218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9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2B5ACB"/>
    <w:rPr>
      <w:rFonts w:eastAsia="MS Mincho"/>
      <w:sz w:val="24"/>
      <w:szCs w:val="24"/>
      <w:lang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5941"/>
    <w:rPr>
      <w:rFonts w:ascii="Arial" w:eastAsia="Calibri" w:hAnsi="Arial" w:cs="Arial"/>
      <w:sz w:val="22"/>
      <w:szCs w:val="24"/>
      <w:lang w:val="en-GB"/>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2021-02-01T09:59:00Z</dcterms:created>
  <dcterms:modified xsi:type="dcterms:W3CDTF">2021-02-01T09:59:00Z</dcterms:modified>
</cp:coreProperties>
</file>