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F72BF3" w:rsidRDefault="00F72BF3" w:rsidP="00F72BF3">
      <w:pPr>
        <w:spacing w:line="360" w:lineRule="auto"/>
        <w:ind w:left="720"/>
        <w:rPr>
          <w:rFonts w:ascii="Arial" w:hAnsi="Arial" w:cs="Arial"/>
          <w:b/>
          <w:lang w:val="en-GB"/>
        </w:rPr>
      </w:pPr>
    </w:p>
    <w:p w:rsidR="009D21D2" w:rsidRPr="002F1C97" w:rsidRDefault="009D21D2" w:rsidP="009D21D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2F1C97">
        <w:rPr>
          <w:rFonts w:ascii="Arial" w:hAnsi="Arial" w:cs="Arial"/>
          <w:b/>
          <w:lang w:val="en-GB"/>
        </w:rPr>
        <w:t>36/1/4/1/201700353</w:t>
      </w:r>
    </w:p>
    <w:p w:rsidR="009D21D2" w:rsidRPr="002F1C97" w:rsidRDefault="009D21D2" w:rsidP="009D21D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2F1C97">
        <w:rPr>
          <w:rFonts w:ascii="Arial" w:hAnsi="Arial" w:cs="Arial"/>
          <w:b/>
          <w:lang w:val="en-GB"/>
        </w:rPr>
        <w:t>NATIONAL ASSEMBLY</w:t>
      </w:r>
    </w:p>
    <w:p w:rsidR="009D21D2" w:rsidRPr="002F1C97" w:rsidRDefault="009D21D2" w:rsidP="009D21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D21D2" w:rsidRPr="002F1C97" w:rsidRDefault="009D21D2" w:rsidP="009D21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F1C97">
        <w:rPr>
          <w:rFonts w:ascii="Arial" w:hAnsi="Arial" w:cs="Arial"/>
          <w:b/>
          <w:u w:val="single"/>
          <w:lang w:val="en-GB"/>
        </w:rPr>
        <w:t>FOR WRITTEN REPLY</w:t>
      </w:r>
    </w:p>
    <w:p w:rsidR="009D21D2" w:rsidRPr="002F1C97" w:rsidRDefault="009D21D2" w:rsidP="009D21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D21D2" w:rsidRPr="002F1C97" w:rsidRDefault="009D21D2" w:rsidP="009D21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F1C97">
        <w:rPr>
          <w:rFonts w:ascii="Arial" w:hAnsi="Arial" w:cs="Arial"/>
          <w:b/>
          <w:u w:val="single"/>
          <w:lang w:val="en-GB"/>
        </w:rPr>
        <w:t>QUESTION 2985</w:t>
      </w:r>
    </w:p>
    <w:p w:rsidR="009D21D2" w:rsidRPr="002F1C97" w:rsidRDefault="009D21D2" w:rsidP="009D21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D21D2" w:rsidRPr="002F1C97" w:rsidRDefault="009D21D2" w:rsidP="009D21D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2F1C97">
        <w:rPr>
          <w:rFonts w:ascii="Arial" w:hAnsi="Arial" w:cs="Arial"/>
          <w:b/>
          <w:u w:val="single"/>
          <w:lang w:val="en-GB"/>
        </w:rPr>
        <w:t>DATE OF PUBLICATION IN INTERNAL QUESTION PAPER: 6 OCTOBER 2017</w:t>
      </w:r>
    </w:p>
    <w:p w:rsidR="009D21D2" w:rsidRPr="002F1C97" w:rsidRDefault="009D21D2" w:rsidP="009D21D2">
      <w:pPr>
        <w:jc w:val="center"/>
        <w:rPr>
          <w:rFonts w:ascii="Arial" w:hAnsi="Arial" w:cs="Arial"/>
          <w:b/>
          <w:u w:val="single"/>
          <w:lang w:val="en-GB"/>
        </w:rPr>
      </w:pPr>
      <w:r w:rsidRPr="002F1C97">
        <w:rPr>
          <w:rFonts w:ascii="Arial" w:hAnsi="Arial" w:cs="Arial"/>
          <w:b/>
          <w:u w:val="single"/>
          <w:lang w:val="en-GB"/>
        </w:rPr>
        <w:t>(INTERNAL QUESTION PAPER NO 34-2017)</w:t>
      </w:r>
    </w:p>
    <w:p w:rsidR="009D21D2" w:rsidRPr="002F1C97" w:rsidRDefault="009D21D2" w:rsidP="009D21D2">
      <w:pPr>
        <w:ind w:left="851" w:hanging="851"/>
        <w:rPr>
          <w:rFonts w:ascii="Arial" w:hAnsi="Arial" w:cs="Arial"/>
          <w:b/>
        </w:rPr>
      </w:pPr>
    </w:p>
    <w:p w:rsidR="009D21D2" w:rsidRPr="002F1C97" w:rsidRDefault="009D21D2" w:rsidP="009D21D2">
      <w:pPr>
        <w:ind w:left="851" w:hanging="851"/>
        <w:rPr>
          <w:rFonts w:ascii="Arial" w:hAnsi="Arial" w:cs="Arial"/>
        </w:rPr>
      </w:pPr>
      <w:r w:rsidRPr="002F1C97">
        <w:rPr>
          <w:rFonts w:ascii="Arial" w:hAnsi="Arial" w:cs="Arial"/>
          <w:b/>
        </w:rPr>
        <w:t>2985.</w:t>
      </w:r>
      <w:r w:rsidRPr="002F1C97">
        <w:rPr>
          <w:rFonts w:ascii="Arial" w:hAnsi="Arial" w:cs="Arial"/>
          <w:b/>
        </w:rPr>
        <w:tab/>
      </w:r>
      <w:proofErr w:type="spellStart"/>
      <w:r w:rsidRPr="002F1C97">
        <w:rPr>
          <w:rFonts w:ascii="Arial" w:hAnsi="Arial" w:cs="Arial"/>
          <w:b/>
        </w:rPr>
        <w:t>Mr</w:t>
      </w:r>
      <w:proofErr w:type="spellEnd"/>
      <w:r w:rsidRPr="002F1C97">
        <w:rPr>
          <w:rFonts w:ascii="Arial" w:hAnsi="Arial" w:cs="Arial"/>
          <w:b/>
        </w:rPr>
        <w:t xml:space="preserve"> R K Purdon (DA) to ask the Minister of Police:</w:t>
      </w:r>
    </w:p>
    <w:p w:rsidR="009D21D2" w:rsidRPr="002F1C97" w:rsidRDefault="009D21D2" w:rsidP="009D21D2">
      <w:pPr>
        <w:ind w:left="720" w:hanging="720"/>
        <w:jc w:val="both"/>
        <w:rPr>
          <w:rFonts w:ascii="Arial" w:hAnsi="Arial" w:cs="Arial"/>
        </w:rPr>
      </w:pPr>
    </w:p>
    <w:p w:rsidR="009D21D2" w:rsidRPr="002F1C97" w:rsidRDefault="009D21D2" w:rsidP="009D21D2">
      <w:pPr>
        <w:ind w:left="720" w:hanging="720"/>
        <w:jc w:val="both"/>
        <w:rPr>
          <w:rFonts w:ascii="Arial" w:hAnsi="Arial" w:cs="Arial"/>
          <w:iCs/>
        </w:rPr>
      </w:pPr>
      <w:r w:rsidRPr="002F1C97">
        <w:rPr>
          <w:rFonts w:ascii="Arial" w:hAnsi="Arial" w:cs="Arial"/>
        </w:rPr>
        <w:t>(1)</w:t>
      </w:r>
      <w:r w:rsidRPr="002F1C97">
        <w:rPr>
          <w:rFonts w:ascii="Arial" w:hAnsi="Arial" w:cs="Arial"/>
        </w:rPr>
        <w:tab/>
      </w:r>
      <w:r w:rsidRPr="002F1C97">
        <w:rPr>
          <w:rFonts w:ascii="Arial" w:hAnsi="Arial" w:cs="Arial"/>
          <w:iCs/>
        </w:rPr>
        <w:t xml:space="preserve">How many drug intelligence reports were generated by the Division for Forensic Science (FSD) </w:t>
      </w:r>
      <w:r w:rsidRPr="002F1C97">
        <w:rPr>
          <w:rFonts w:ascii="Arial" w:hAnsi="Arial" w:cs="Arial"/>
          <w:lang w:val="af-ZA"/>
        </w:rPr>
        <w:t>in</w:t>
      </w:r>
      <w:r w:rsidRPr="002F1C97">
        <w:rPr>
          <w:rFonts w:ascii="Arial" w:hAnsi="Arial" w:cs="Arial"/>
          <w:iCs/>
        </w:rPr>
        <w:t xml:space="preserve"> the SA Police Service (SAPS) in (a) each of the past five financial years and (b) since 1 April </w:t>
      </w:r>
      <w:proofErr w:type="gramStart"/>
      <w:r w:rsidRPr="002F1C97">
        <w:rPr>
          <w:rFonts w:ascii="Arial" w:hAnsi="Arial" w:cs="Arial"/>
          <w:iCs/>
        </w:rPr>
        <w:t>2017;</w:t>
      </w:r>
      <w:proofErr w:type="gramEnd"/>
    </w:p>
    <w:p w:rsidR="009D21D2" w:rsidRPr="002F1C97" w:rsidRDefault="009D21D2" w:rsidP="009D21D2">
      <w:pPr>
        <w:jc w:val="both"/>
        <w:rPr>
          <w:rFonts w:ascii="Arial" w:hAnsi="Arial" w:cs="Arial"/>
          <w:iCs/>
        </w:rPr>
      </w:pPr>
    </w:p>
    <w:p w:rsidR="009D21D2" w:rsidRPr="002F1C97" w:rsidRDefault="009D21D2" w:rsidP="009D21D2">
      <w:pPr>
        <w:jc w:val="both"/>
        <w:rPr>
          <w:rFonts w:ascii="Arial" w:hAnsi="Arial" w:cs="Arial"/>
          <w:iCs/>
        </w:rPr>
      </w:pPr>
      <w:r w:rsidRPr="002F1C97">
        <w:rPr>
          <w:rFonts w:ascii="Arial" w:hAnsi="Arial" w:cs="Arial"/>
          <w:iCs/>
        </w:rPr>
        <w:t>(2)</w:t>
      </w:r>
      <w:r w:rsidRPr="002F1C97">
        <w:rPr>
          <w:rFonts w:ascii="Arial" w:hAnsi="Arial" w:cs="Arial"/>
          <w:iCs/>
        </w:rPr>
        <w:tab/>
      </w:r>
      <w:proofErr w:type="gramStart"/>
      <w:r w:rsidRPr="002F1C97">
        <w:rPr>
          <w:rFonts w:ascii="Arial" w:hAnsi="Arial" w:cs="Arial"/>
          <w:iCs/>
        </w:rPr>
        <w:t>what</w:t>
      </w:r>
      <w:proofErr w:type="gramEnd"/>
      <w:r w:rsidRPr="002F1C97">
        <w:rPr>
          <w:rFonts w:ascii="Arial" w:hAnsi="Arial" w:cs="Arial"/>
          <w:iCs/>
        </w:rPr>
        <w:t xml:space="preserve"> is the current </w:t>
      </w:r>
      <w:r w:rsidRPr="002F1C97">
        <w:rPr>
          <w:rFonts w:ascii="Arial" w:hAnsi="Arial" w:cs="Arial"/>
          <w:lang w:val="af-ZA"/>
        </w:rPr>
        <w:t>backlog</w:t>
      </w:r>
      <w:r w:rsidRPr="002F1C97">
        <w:rPr>
          <w:rFonts w:ascii="Arial" w:hAnsi="Arial" w:cs="Arial"/>
          <w:iCs/>
        </w:rPr>
        <w:t xml:space="preserve"> in the generation of drug intelligence reports;</w:t>
      </w:r>
    </w:p>
    <w:p w:rsidR="009D21D2" w:rsidRPr="002F1C97" w:rsidRDefault="009D21D2" w:rsidP="009D21D2">
      <w:pPr>
        <w:jc w:val="both"/>
        <w:rPr>
          <w:rFonts w:ascii="Arial" w:hAnsi="Arial" w:cs="Arial"/>
          <w:iCs/>
        </w:rPr>
      </w:pPr>
    </w:p>
    <w:p w:rsidR="009D21D2" w:rsidRPr="002F1C97" w:rsidRDefault="009D21D2" w:rsidP="009D21D2">
      <w:pPr>
        <w:ind w:left="720" w:hanging="720"/>
        <w:jc w:val="both"/>
        <w:rPr>
          <w:rFonts w:ascii="Arial" w:hAnsi="Arial" w:cs="Arial"/>
        </w:rPr>
      </w:pPr>
      <w:r w:rsidRPr="002F1C97">
        <w:rPr>
          <w:rFonts w:ascii="Arial" w:hAnsi="Arial" w:cs="Arial"/>
          <w:iCs/>
        </w:rPr>
        <w:t>(3)</w:t>
      </w:r>
      <w:r w:rsidRPr="002F1C97">
        <w:rPr>
          <w:rFonts w:ascii="Arial" w:hAnsi="Arial" w:cs="Arial"/>
          <w:iCs/>
        </w:rPr>
        <w:tab/>
      </w:r>
      <w:proofErr w:type="gramStart"/>
      <w:r w:rsidRPr="002F1C97">
        <w:rPr>
          <w:rFonts w:ascii="Arial" w:hAnsi="Arial" w:cs="Arial"/>
          <w:iCs/>
          <w:color w:val="000000"/>
          <w:lang w:eastAsia="en-ZA"/>
        </w:rPr>
        <w:t>in</w:t>
      </w:r>
      <w:proofErr w:type="gramEnd"/>
      <w:r w:rsidRPr="002F1C97">
        <w:rPr>
          <w:rFonts w:ascii="Arial" w:hAnsi="Arial" w:cs="Arial"/>
          <w:iCs/>
          <w:color w:val="000000"/>
          <w:lang w:eastAsia="en-ZA"/>
        </w:rPr>
        <w:t xml:space="preserve"> (a) each of the past five financial years and (b) since 1 April 2017, what is the total number of (</w:t>
      </w:r>
      <w:proofErr w:type="spellStart"/>
      <w:r w:rsidRPr="002F1C97">
        <w:rPr>
          <w:rFonts w:ascii="Arial" w:hAnsi="Arial" w:cs="Arial"/>
          <w:iCs/>
          <w:color w:val="000000"/>
          <w:lang w:eastAsia="en-ZA"/>
        </w:rPr>
        <w:t>i</w:t>
      </w:r>
      <w:proofErr w:type="spellEnd"/>
      <w:r w:rsidRPr="002F1C97">
        <w:rPr>
          <w:rFonts w:ascii="Arial" w:hAnsi="Arial" w:cs="Arial"/>
          <w:iCs/>
          <w:color w:val="000000"/>
          <w:lang w:eastAsia="en-ZA"/>
        </w:rPr>
        <w:t>) drug samples that were (</w:t>
      </w:r>
      <w:proofErr w:type="spellStart"/>
      <w:r w:rsidRPr="002F1C97">
        <w:rPr>
          <w:rFonts w:ascii="Arial" w:hAnsi="Arial" w:cs="Arial"/>
          <w:iCs/>
          <w:color w:val="000000"/>
          <w:lang w:eastAsia="en-ZA"/>
        </w:rPr>
        <w:t>aa</w:t>
      </w:r>
      <w:proofErr w:type="spellEnd"/>
      <w:r w:rsidRPr="002F1C97">
        <w:rPr>
          <w:rFonts w:ascii="Arial" w:hAnsi="Arial" w:cs="Arial"/>
          <w:iCs/>
          <w:color w:val="000000"/>
          <w:lang w:eastAsia="en-ZA"/>
        </w:rPr>
        <w:t xml:space="preserve">) identified and (bb) classified and (ii) substances involved in the illicit synthesis and formulation of drugs were </w:t>
      </w:r>
      <w:proofErr w:type="spellStart"/>
      <w:r w:rsidRPr="002F1C97">
        <w:rPr>
          <w:rFonts w:ascii="Arial" w:hAnsi="Arial" w:cs="Arial"/>
          <w:iCs/>
          <w:color w:val="000000"/>
          <w:lang w:eastAsia="en-ZA"/>
        </w:rPr>
        <w:t>analysed</w:t>
      </w:r>
      <w:proofErr w:type="spellEnd"/>
      <w:r w:rsidRPr="002F1C97">
        <w:rPr>
          <w:rFonts w:ascii="Arial" w:hAnsi="Arial" w:cs="Arial"/>
          <w:iCs/>
          <w:color w:val="000000"/>
          <w:lang w:eastAsia="en-ZA"/>
        </w:rPr>
        <w:t xml:space="preserve"> by the FSD</w:t>
      </w:r>
      <w:r w:rsidRPr="002F1C97">
        <w:rPr>
          <w:rFonts w:ascii="Arial" w:hAnsi="Arial" w:cs="Arial"/>
        </w:rPr>
        <w:t>?</w:t>
      </w:r>
    </w:p>
    <w:p w:rsidR="009D21D2" w:rsidRPr="002F1C97" w:rsidRDefault="009D21D2" w:rsidP="009D21D2">
      <w:pPr>
        <w:ind w:left="720" w:hanging="720"/>
        <w:jc w:val="right"/>
        <w:rPr>
          <w:rFonts w:ascii="Arial" w:hAnsi="Arial" w:cs="Arial"/>
        </w:rPr>
      </w:pPr>
      <w:r w:rsidRPr="002F1C97">
        <w:rPr>
          <w:rFonts w:ascii="Arial" w:hAnsi="Arial" w:cs="Arial"/>
        </w:rPr>
        <w:t>NW3304E</w:t>
      </w:r>
    </w:p>
    <w:p w:rsidR="009D21D2" w:rsidRPr="002F1C97" w:rsidRDefault="009D21D2" w:rsidP="009D21D2">
      <w:pPr>
        <w:ind w:left="720" w:hanging="720"/>
        <w:jc w:val="both"/>
        <w:rPr>
          <w:rFonts w:ascii="Arial" w:hAnsi="Arial" w:cs="Arial"/>
        </w:rPr>
      </w:pPr>
      <w:r w:rsidRPr="002F1C97">
        <w:rPr>
          <w:rFonts w:ascii="Arial" w:hAnsi="Arial" w:cs="Arial"/>
          <w:b/>
        </w:rPr>
        <w:t>REPLY:</w:t>
      </w:r>
    </w:p>
    <w:p w:rsidR="009D21D2" w:rsidRPr="002F1C97" w:rsidRDefault="009D21D2" w:rsidP="009D21D2">
      <w:pPr>
        <w:ind w:left="720" w:hanging="720"/>
        <w:jc w:val="both"/>
        <w:rPr>
          <w:rFonts w:ascii="Arial" w:hAnsi="Arial" w:cs="Arial"/>
        </w:rPr>
      </w:pPr>
    </w:p>
    <w:p w:rsidR="009D21D2" w:rsidRPr="002F1C97" w:rsidRDefault="009D21D2" w:rsidP="009D21D2">
      <w:pPr>
        <w:spacing w:after="200" w:line="276" w:lineRule="auto"/>
        <w:ind w:left="1440" w:hanging="1440"/>
        <w:contextualSpacing/>
        <w:jc w:val="both"/>
        <w:rPr>
          <w:rFonts w:ascii="Arial" w:hAnsi="Arial" w:cs="Arial"/>
        </w:rPr>
      </w:pPr>
      <w:r w:rsidRPr="002F1C97">
        <w:rPr>
          <w:rFonts w:ascii="Arial" w:hAnsi="Arial" w:cs="Arial"/>
        </w:rPr>
        <w:t>(1)(a)(b)</w:t>
      </w:r>
      <w:r w:rsidRPr="002F1C97">
        <w:rPr>
          <w:rFonts w:ascii="Arial" w:hAnsi="Arial" w:cs="Arial"/>
        </w:rPr>
        <w:tab/>
        <w:t>The following drug intelligence reports (meaning non-case finding reports)</w:t>
      </w:r>
      <w:r>
        <w:rPr>
          <w:rFonts w:ascii="Arial" w:hAnsi="Arial" w:cs="Arial"/>
        </w:rPr>
        <w:t>,</w:t>
      </w:r>
      <w:r w:rsidRPr="002F1C97">
        <w:rPr>
          <w:rFonts w:ascii="Arial" w:hAnsi="Arial" w:cs="Arial"/>
        </w:rPr>
        <w:t xml:space="preserve"> were issued:</w:t>
      </w:r>
    </w:p>
    <w:tbl>
      <w:tblPr>
        <w:tblW w:w="8425" w:type="dxa"/>
        <w:tblInd w:w="817" w:type="dxa"/>
        <w:tblLook w:val="04A0" w:firstRow="1" w:lastRow="0" w:firstColumn="1" w:lastColumn="0" w:noHBand="0" w:noVBand="1"/>
      </w:tblPr>
      <w:tblGrid>
        <w:gridCol w:w="1802"/>
        <w:gridCol w:w="1120"/>
        <w:gridCol w:w="1114"/>
        <w:gridCol w:w="1114"/>
        <w:gridCol w:w="1171"/>
        <w:gridCol w:w="1192"/>
        <w:gridCol w:w="912"/>
      </w:tblGrid>
      <w:tr w:rsidR="009D21D2" w:rsidRPr="002F1C97" w:rsidTr="009C4A4D">
        <w:trPr>
          <w:trHeight w:val="5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2012/2013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2013/2014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2014/2015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2015/2016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2016/2017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April 2017 to 8 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October 2017</w:t>
            </w:r>
          </w:p>
        </w:tc>
      </w:tr>
      <w:tr w:rsidR="009D21D2" w:rsidRPr="002F1C97" w:rsidTr="009C4A4D">
        <w:trPr>
          <w:trHeight w:val="7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Drug Intelligence reports issued by the Forensic Science Laboratory (FSL), Chemistry Section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D21D2" w:rsidRPr="002F1C97" w:rsidTr="009C4A4D">
        <w:trPr>
          <w:trHeight w:val="416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97">
              <w:rPr>
                <w:rFonts w:ascii="Arial" w:hAnsi="Arial" w:cs="Arial"/>
                <w:b/>
                <w:bCs/>
                <w:sz w:val="20"/>
                <w:szCs w:val="20"/>
              </w:rPr>
              <w:t>Drug  Intelligence reports issued by the Division: Technology Management Services (ad hoc) to the FSL, Chemistry Section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1C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D21D2" w:rsidRPr="002F1C97" w:rsidTr="009C4A4D">
        <w:trPr>
          <w:trHeight w:val="25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1D2" w:rsidRPr="002F1C97" w:rsidRDefault="009D21D2" w:rsidP="009D21D2">
      <w:pPr>
        <w:pStyle w:val="ListParagraph"/>
        <w:numPr>
          <w:ilvl w:val="0"/>
          <w:numId w:val="27"/>
        </w:numPr>
        <w:tabs>
          <w:tab w:val="right" w:pos="9026"/>
        </w:tabs>
        <w:spacing w:after="200" w:line="276" w:lineRule="auto"/>
        <w:ind w:hanging="720"/>
        <w:rPr>
          <w:rFonts w:ascii="Arial" w:hAnsi="Arial" w:cs="Arial"/>
        </w:rPr>
      </w:pPr>
      <w:r w:rsidRPr="002F1C97">
        <w:rPr>
          <w:rFonts w:ascii="Arial" w:hAnsi="Arial" w:cs="Arial"/>
        </w:rPr>
        <w:t>There are currently no backlogs in respect of drug intelligence reports.</w:t>
      </w:r>
    </w:p>
    <w:p w:rsidR="009D21D2" w:rsidRPr="002F1C97" w:rsidRDefault="009D21D2" w:rsidP="009D21D2">
      <w:pPr>
        <w:tabs>
          <w:tab w:val="right" w:pos="9026"/>
        </w:tabs>
        <w:spacing w:after="200" w:line="276" w:lineRule="auto"/>
        <w:rPr>
          <w:rFonts w:ascii="Arial" w:hAnsi="Arial" w:cs="Arial"/>
        </w:rPr>
      </w:pPr>
      <w:r w:rsidRPr="002F1C97">
        <w:rPr>
          <w:rFonts w:ascii="Arial" w:hAnsi="Arial" w:cs="Arial"/>
        </w:rPr>
        <w:t>(3)(a)(b)(</w:t>
      </w:r>
      <w:proofErr w:type="spellStart"/>
      <w:proofErr w:type="gramStart"/>
      <w:r w:rsidRPr="002F1C97">
        <w:rPr>
          <w:rFonts w:ascii="Arial" w:hAnsi="Arial" w:cs="Arial"/>
        </w:rPr>
        <w:t>i</w:t>
      </w:r>
      <w:proofErr w:type="spellEnd"/>
      <w:proofErr w:type="gramEnd"/>
      <w:r w:rsidRPr="002F1C97">
        <w:rPr>
          <w:rFonts w:ascii="Arial" w:hAnsi="Arial" w:cs="Arial"/>
        </w:rPr>
        <w:t>)(</w:t>
      </w:r>
      <w:proofErr w:type="spellStart"/>
      <w:proofErr w:type="gramStart"/>
      <w:r w:rsidRPr="002F1C97">
        <w:rPr>
          <w:rFonts w:ascii="Arial" w:hAnsi="Arial" w:cs="Arial"/>
        </w:rPr>
        <w:t>aa</w:t>
      </w:r>
      <w:proofErr w:type="spellEnd"/>
      <w:proofErr w:type="gramEnd"/>
      <w:r w:rsidRPr="002F1C97">
        <w:rPr>
          <w:rFonts w:ascii="Arial" w:hAnsi="Arial" w:cs="Arial"/>
        </w:rPr>
        <w:t>)(</w:t>
      </w:r>
      <w:proofErr w:type="gramStart"/>
      <w:r w:rsidRPr="002F1C97">
        <w:rPr>
          <w:rFonts w:ascii="Arial" w:hAnsi="Arial" w:cs="Arial"/>
        </w:rPr>
        <w:t>bb</w:t>
      </w:r>
      <w:proofErr w:type="gramEnd"/>
      <w:r w:rsidRPr="002F1C97">
        <w:rPr>
          <w:rFonts w:ascii="Arial" w:hAnsi="Arial" w:cs="Arial"/>
        </w:rPr>
        <w:t>)</w:t>
      </w:r>
    </w:p>
    <w:tbl>
      <w:tblPr>
        <w:tblW w:w="8847" w:type="dxa"/>
        <w:tblInd w:w="840" w:type="dxa"/>
        <w:tblLook w:val="04A0" w:firstRow="1" w:lastRow="0" w:firstColumn="1" w:lastColumn="0" w:noHBand="0" w:noVBand="1"/>
      </w:tblPr>
      <w:tblGrid>
        <w:gridCol w:w="1873"/>
        <w:gridCol w:w="1081"/>
        <w:gridCol w:w="1134"/>
        <w:gridCol w:w="1134"/>
        <w:gridCol w:w="1134"/>
        <w:gridCol w:w="1134"/>
        <w:gridCol w:w="1357"/>
      </w:tblGrid>
      <w:tr w:rsidR="009D21D2" w:rsidRPr="002F1C97" w:rsidTr="009C4A4D">
        <w:trPr>
          <w:trHeight w:val="25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Substance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1 April 2017 to 8 October 2017</w:t>
            </w:r>
          </w:p>
        </w:tc>
      </w:tr>
      <w:tr w:rsidR="009D21D2" w:rsidRPr="002F1C97" w:rsidTr="009C4A4D">
        <w:trPr>
          <w:trHeight w:val="129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Cathinones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982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905</w:t>
            </w:r>
          </w:p>
        </w:tc>
      </w:tr>
      <w:tr w:rsidR="009D21D2" w:rsidRPr="002F1C97" w:rsidTr="009C4A4D">
        <w:trPr>
          <w:trHeight w:val="129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Cocaine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841</w:t>
            </w:r>
          </w:p>
        </w:tc>
      </w:tr>
      <w:tr w:rsidR="009D21D2" w:rsidRPr="002F1C97" w:rsidTr="009C4A4D">
        <w:trPr>
          <w:trHeight w:val="129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 xml:space="preserve">Heroine 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>and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 xml:space="preserve"> Morphine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772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766</w:t>
            </w:r>
          </w:p>
        </w:tc>
      </w:tr>
      <w:tr w:rsidR="009D21D2" w:rsidRPr="002F1C97" w:rsidTr="009C4A4D">
        <w:trPr>
          <w:trHeight w:val="129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LSD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9D21D2" w:rsidRPr="002F1C97" w:rsidTr="009C4A4D">
        <w:trPr>
          <w:trHeight w:val="129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Methamphetamine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24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28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31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842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445</w:t>
            </w:r>
          </w:p>
        </w:tc>
      </w:tr>
      <w:tr w:rsidR="009D21D2" w:rsidRPr="002F1C97" w:rsidTr="009C4A4D">
        <w:trPr>
          <w:trHeight w:val="129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Methaqualone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28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695</w:t>
            </w:r>
          </w:p>
        </w:tc>
      </w:tr>
      <w:tr w:rsidR="009D21D2" w:rsidRPr="002F1C97" w:rsidTr="009C4A4D">
        <w:trPr>
          <w:trHeight w:val="517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Other Amphetamine Type stimulants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576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310</w:t>
            </w:r>
          </w:p>
        </w:tc>
      </w:tr>
      <w:tr w:rsidR="009D21D2" w:rsidRPr="002F1C97" w:rsidTr="009C4A4D">
        <w:trPr>
          <w:trHeight w:val="387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Other Drugs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79</w:t>
            </w:r>
          </w:p>
        </w:tc>
      </w:tr>
      <w:tr w:rsidR="009D21D2" w:rsidRPr="002F1C97" w:rsidTr="009C4A4D">
        <w:trPr>
          <w:trHeight w:val="319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Ephedrines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61</w:t>
            </w:r>
          </w:p>
        </w:tc>
      </w:tr>
      <w:tr w:rsidR="009D21D2" w:rsidRPr="002F1C97" w:rsidTr="009C4A4D">
        <w:trPr>
          <w:trHeight w:val="387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Clan lab chemicals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9D21D2" w:rsidRPr="002F1C97" w:rsidTr="009C4A4D">
        <w:trPr>
          <w:trHeight w:val="129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D21D2" w:rsidRPr="00A65566" w:rsidRDefault="009D21D2" w:rsidP="009C4A4D">
            <w:pP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A6556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D21D2" w:rsidRPr="00A65566" w:rsidRDefault="009D21D2" w:rsidP="009C4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A6556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54 839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D21D2" w:rsidRPr="00A65566" w:rsidRDefault="009D21D2" w:rsidP="009C4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A6556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69 215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D21D2" w:rsidRPr="00A65566" w:rsidRDefault="009D21D2" w:rsidP="009C4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A6556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73 811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D21D2" w:rsidRPr="00A65566" w:rsidRDefault="009D21D2" w:rsidP="009C4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A6556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76 239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D21D2" w:rsidRPr="00A65566" w:rsidRDefault="009D21D2" w:rsidP="009C4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A6556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92 013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A6556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47 115</w:t>
            </w:r>
          </w:p>
        </w:tc>
      </w:tr>
    </w:tbl>
    <w:p w:rsidR="009D21D2" w:rsidRPr="002F1C97" w:rsidRDefault="009D21D2" w:rsidP="009D21D2">
      <w:pPr>
        <w:spacing w:after="200" w:line="276" w:lineRule="auto"/>
        <w:ind w:left="720"/>
        <w:contextualSpacing/>
        <w:rPr>
          <w:rFonts w:ascii="Arial" w:hAnsi="Arial" w:cs="Arial"/>
        </w:rPr>
      </w:pPr>
      <w:r w:rsidRPr="002F1C97">
        <w:rPr>
          <w:rFonts w:ascii="Arial" w:hAnsi="Arial" w:cs="Arial"/>
        </w:rPr>
        <w:t xml:space="preserve"> </w:t>
      </w:r>
    </w:p>
    <w:p w:rsidR="009D21D2" w:rsidRDefault="009D21D2" w:rsidP="009D21D2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(3(a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b)(ii)</w:t>
      </w:r>
    </w:p>
    <w:p w:rsidR="009D21D2" w:rsidRPr="002F1C97" w:rsidRDefault="009D21D2" w:rsidP="009D21D2">
      <w:pPr>
        <w:spacing w:after="200" w:line="276" w:lineRule="auto"/>
        <w:contextualSpacing/>
        <w:rPr>
          <w:rFonts w:ascii="Arial" w:hAnsi="Arial" w:cs="Arial"/>
        </w:rPr>
      </w:pPr>
      <w:r w:rsidRPr="002F1C97">
        <w:rPr>
          <w:rFonts w:ascii="Arial" w:hAnsi="Arial" w:cs="Arial"/>
        </w:rPr>
        <w:t xml:space="preserve"> </w:t>
      </w:r>
    </w:p>
    <w:tbl>
      <w:tblPr>
        <w:tblW w:w="8893" w:type="dxa"/>
        <w:tblInd w:w="840" w:type="dxa"/>
        <w:tblLook w:val="04A0" w:firstRow="1" w:lastRow="0" w:firstColumn="1" w:lastColumn="0" w:noHBand="0" w:noVBand="1"/>
      </w:tblPr>
      <w:tblGrid>
        <w:gridCol w:w="1873"/>
        <w:gridCol w:w="1081"/>
        <w:gridCol w:w="1134"/>
        <w:gridCol w:w="1134"/>
        <w:gridCol w:w="1134"/>
        <w:gridCol w:w="1134"/>
        <w:gridCol w:w="1403"/>
      </w:tblGrid>
      <w:tr w:rsidR="009D21D2" w:rsidRPr="002F1C97" w:rsidTr="009C4A4D">
        <w:trPr>
          <w:trHeight w:val="51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Substance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D2" w:rsidRPr="002F1C97" w:rsidRDefault="009D21D2" w:rsidP="009C4A4D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C97">
              <w:rPr>
                <w:rFonts w:ascii="Arial" w:hAnsi="Arial" w:cs="Arial"/>
                <w:b/>
                <w:bCs/>
                <w:sz w:val="18"/>
                <w:szCs w:val="18"/>
              </w:rPr>
              <w:t>1 April 2017 to 8 October 2017</w:t>
            </w:r>
          </w:p>
        </w:tc>
      </w:tr>
      <w:tr w:rsidR="009D21D2" w:rsidRPr="002F1C97" w:rsidTr="009C4A4D">
        <w:trPr>
          <w:trHeight w:val="255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Methcathinone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9D21D2" w:rsidRPr="002F1C97" w:rsidTr="009C4A4D">
        <w:trPr>
          <w:trHeight w:val="255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Methamphetamine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9D21D2" w:rsidRPr="002F1C97" w:rsidTr="009C4A4D">
        <w:trPr>
          <w:trHeight w:val="510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Cathinone</w:t>
            </w:r>
            <w:proofErr w:type="spellEnd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 xml:space="preserve"> + Methamphetamine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</w:tr>
      <w:tr w:rsidR="009D21D2" w:rsidRPr="002F1C97" w:rsidTr="009C4A4D">
        <w:trPr>
          <w:trHeight w:val="510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Methcathinone</w:t>
            </w:r>
            <w:proofErr w:type="spellEnd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 xml:space="preserve"> + Methamphetamine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</w:tr>
      <w:tr w:rsidR="009D21D2" w:rsidRPr="002F1C97" w:rsidTr="009C4A4D">
        <w:trPr>
          <w:trHeight w:val="255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Methaqualone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9D21D2" w:rsidRPr="002F1C97" w:rsidTr="009C4A4D">
        <w:trPr>
          <w:trHeight w:val="585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21D2" w:rsidRPr="002F1C97" w:rsidRDefault="009D21D2" w:rsidP="009C4A4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 xml:space="preserve">Other Amphetamine Type stimulants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D2" w:rsidRPr="002F1C97" w:rsidRDefault="009D21D2" w:rsidP="009C4A4D">
            <w:pPr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2F1C97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</w:tr>
    </w:tbl>
    <w:p w:rsidR="009D21D2" w:rsidRPr="002F1C97" w:rsidRDefault="009D21D2" w:rsidP="009D21D2">
      <w:pPr>
        <w:spacing w:after="200" w:line="276" w:lineRule="auto"/>
        <w:contextualSpacing/>
        <w:rPr>
          <w:rFonts w:ascii="Arial" w:hAnsi="Arial" w:cs="Arial"/>
        </w:rPr>
      </w:pPr>
      <w:bookmarkStart w:id="0" w:name="_GoBack"/>
      <w:bookmarkEnd w:id="0"/>
    </w:p>
    <w:sectPr w:rsidR="009D21D2" w:rsidRPr="002F1C97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9C" w:rsidRDefault="00C6609C" w:rsidP="00020C8A">
      <w:r>
        <w:separator/>
      </w:r>
    </w:p>
  </w:endnote>
  <w:endnote w:type="continuationSeparator" w:id="0">
    <w:p w:rsidR="00C6609C" w:rsidRDefault="00C6609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9C" w:rsidRDefault="00C6609C" w:rsidP="00020C8A">
      <w:r>
        <w:separator/>
      </w:r>
    </w:p>
  </w:footnote>
  <w:footnote w:type="continuationSeparator" w:id="0">
    <w:p w:rsidR="00C6609C" w:rsidRDefault="00C6609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7E6C"/>
    <w:multiLevelType w:val="hybridMultilevel"/>
    <w:tmpl w:val="0B5883B2"/>
    <w:lvl w:ilvl="0" w:tplc="C1B24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60CE6"/>
    <w:multiLevelType w:val="hybridMultilevel"/>
    <w:tmpl w:val="EF041DB2"/>
    <w:lvl w:ilvl="0" w:tplc="745C58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45230"/>
    <w:multiLevelType w:val="hybridMultilevel"/>
    <w:tmpl w:val="41C216A6"/>
    <w:lvl w:ilvl="0" w:tplc="D9C4B2F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25BB4"/>
    <w:multiLevelType w:val="hybridMultilevel"/>
    <w:tmpl w:val="BF686D28"/>
    <w:lvl w:ilvl="0" w:tplc="C0422F38">
      <w:start w:val="2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23"/>
  </w:num>
  <w:num w:numId="7">
    <w:abstractNumId w:val="2"/>
  </w:num>
  <w:num w:numId="8">
    <w:abstractNumId w:val="4"/>
  </w:num>
  <w:num w:numId="9">
    <w:abstractNumId w:val="17"/>
  </w:num>
  <w:num w:numId="10">
    <w:abstractNumId w:val="15"/>
  </w:num>
  <w:num w:numId="11">
    <w:abstractNumId w:val="3"/>
  </w:num>
  <w:num w:numId="12">
    <w:abstractNumId w:val="14"/>
  </w:num>
  <w:num w:numId="13">
    <w:abstractNumId w:val="18"/>
  </w:num>
  <w:num w:numId="14">
    <w:abstractNumId w:val="24"/>
  </w:num>
  <w:num w:numId="15">
    <w:abstractNumId w:val="21"/>
  </w:num>
  <w:num w:numId="16">
    <w:abstractNumId w:val="16"/>
  </w:num>
  <w:num w:numId="17">
    <w:abstractNumId w:val="25"/>
  </w:num>
  <w:num w:numId="18">
    <w:abstractNumId w:val="1"/>
  </w:num>
  <w:num w:numId="19">
    <w:abstractNumId w:val="9"/>
  </w:num>
  <w:num w:numId="20">
    <w:abstractNumId w:val="7"/>
  </w:num>
  <w:num w:numId="21">
    <w:abstractNumId w:val="13"/>
  </w:num>
  <w:num w:numId="22">
    <w:abstractNumId w:val="11"/>
  </w:num>
  <w:num w:numId="23">
    <w:abstractNumId w:val="8"/>
  </w:num>
  <w:num w:numId="24">
    <w:abstractNumId w:val="5"/>
  </w:num>
  <w:num w:numId="25">
    <w:abstractNumId w:val="10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366F0"/>
    <w:rsid w:val="00172112"/>
    <w:rsid w:val="0018484C"/>
    <w:rsid w:val="00193036"/>
    <w:rsid w:val="00193F07"/>
    <w:rsid w:val="001D2D80"/>
    <w:rsid w:val="001D635A"/>
    <w:rsid w:val="00235D5E"/>
    <w:rsid w:val="002526D2"/>
    <w:rsid w:val="002660B4"/>
    <w:rsid w:val="0027011F"/>
    <w:rsid w:val="00271524"/>
    <w:rsid w:val="002B060F"/>
    <w:rsid w:val="002B3B3D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57A27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6E326F"/>
    <w:rsid w:val="0070544C"/>
    <w:rsid w:val="00746BE7"/>
    <w:rsid w:val="00773CD1"/>
    <w:rsid w:val="00775D04"/>
    <w:rsid w:val="0078244A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D21D2"/>
    <w:rsid w:val="009E08FE"/>
    <w:rsid w:val="009E4EFB"/>
    <w:rsid w:val="009E5F5E"/>
    <w:rsid w:val="00A145F8"/>
    <w:rsid w:val="00A25477"/>
    <w:rsid w:val="00A51E91"/>
    <w:rsid w:val="00A60330"/>
    <w:rsid w:val="00A650EF"/>
    <w:rsid w:val="00A65B03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174"/>
    <w:rsid w:val="00C35239"/>
    <w:rsid w:val="00C573BC"/>
    <w:rsid w:val="00C6609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3DFA"/>
    <w:rsid w:val="00EB4706"/>
    <w:rsid w:val="00ED15D2"/>
    <w:rsid w:val="00EF6470"/>
    <w:rsid w:val="00F01AF5"/>
    <w:rsid w:val="00F25264"/>
    <w:rsid w:val="00F33B06"/>
    <w:rsid w:val="00F570FA"/>
    <w:rsid w:val="00F60290"/>
    <w:rsid w:val="00F72BF3"/>
    <w:rsid w:val="00F8567D"/>
    <w:rsid w:val="00F9389C"/>
    <w:rsid w:val="00F96B13"/>
    <w:rsid w:val="00FA3F2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F72BF3"/>
    <w:pPr>
      <w:ind w:right="-46"/>
    </w:pPr>
    <w:rPr>
      <w:rFonts w:ascii="Arial" w:eastAsiaTheme="minorHAnsi" w:hAnsi="Arial" w:cs="Arial"/>
      <w:lang w:val="en-ZA"/>
    </w:rPr>
  </w:style>
  <w:style w:type="character" w:customStyle="1" w:styleId="BodyText2Char">
    <w:name w:val="Body Text 2 Char"/>
    <w:basedOn w:val="DefaultParagraphFont"/>
    <w:link w:val="BodyText2"/>
    <w:uiPriority w:val="99"/>
    <w:rsid w:val="00F72BF3"/>
    <w:rPr>
      <w:rFonts w:ascii="Arial" w:hAnsi="Arial" w:cs="Arial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2017-10-30T08:40:00Z</dcterms:created>
  <dcterms:modified xsi:type="dcterms:W3CDTF">2017-10-30T08:40:00Z</dcterms:modified>
</cp:coreProperties>
</file>