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F62C54" w:rsidRDefault="00CE323E" w:rsidP="002C0C62">
      <w:pPr>
        <w:jc w:val="center"/>
        <w:rPr>
          <w:rFonts w:ascii="Arial" w:hAnsi="Arial" w:cs="Arial"/>
        </w:rPr>
      </w:pPr>
      <w:r w:rsidRPr="00F62C54">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62C54" w:rsidRDefault="00C3677B" w:rsidP="002C0C62">
      <w:pPr>
        <w:spacing w:after="120" w:line="240" w:lineRule="auto"/>
        <w:jc w:val="center"/>
        <w:rPr>
          <w:rFonts w:ascii="Arial" w:hAnsi="Arial" w:cs="Arial"/>
        </w:rPr>
      </w:pPr>
      <w:r w:rsidRPr="00F62C54">
        <w:rPr>
          <w:rFonts w:ascii="Arial" w:hAnsi="Arial" w:cs="Arial"/>
        </w:rPr>
        <w:t>Private Bag X893, Pretoria, 0001, Tel (012) 312 5555, Fax (012) 323 5618</w:t>
      </w:r>
    </w:p>
    <w:p w:rsidR="006B438D" w:rsidRPr="00F62C54" w:rsidRDefault="00C3677B" w:rsidP="002C0C62">
      <w:pPr>
        <w:spacing w:after="120" w:line="240" w:lineRule="auto"/>
        <w:jc w:val="center"/>
        <w:rPr>
          <w:rFonts w:ascii="Arial" w:hAnsi="Arial" w:cs="Arial"/>
        </w:rPr>
      </w:pPr>
      <w:r w:rsidRPr="00F62C54">
        <w:rPr>
          <w:rFonts w:ascii="Arial" w:hAnsi="Arial" w:cs="Arial"/>
        </w:rPr>
        <w:t>Private Bag X9192, Cape Town, 8000, Tel (021) 46</w:t>
      </w:r>
      <w:r w:rsidR="00EA2661" w:rsidRPr="00F62C54">
        <w:rPr>
          <w:rFonts w:ascii="Arial" w:hAnsi="Arial" w:cs="Arial"/>
        </w:rPr>
        <w:t>9</w:t>
      </w:r>
      <w:r w:rsidRPr="00F62C54">
        <w:rPr>
          <w:rFonts w:ascii="Arial" w:hAnsi="Arial" w:cs="Arial"/>
        </w:rPr>
        <w:t xml:space="preserve"> 5</w:t>
      </w:r>
      <w:r w:rsidR="00EA2661" w:rsidRPr="00F62C54">
        <w:rPr>
          <w:rFonts w:ascii="Arial" w:hAnsi="Arial" w:cs="Arial"/>
        </w:rPr>
        <w:t>150</w:t>
      </w:r>
      <w:r w:rsidRPr="00F62C54">
        <w:rPr>
          <w:rFonts w:ascii="Arial" w:hAnsi="Arial" w:cs="Arial"/>
        </w:rPr>
        <w:t>, Fax: (021) 465 7956</w:t>
      </w:r>
    </w:p>
    <w:p w:rsidR="00C3677B" w:rsidRPr="00F62C54"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62C54">
        <w:rPr>
          <w:rFonts w:ascii="Arial" w:hAnsi="Arial" w:cs="Arial"/>
          <w:b/>
          <w:bCs/>
          <w:lang w:val="en-ZA"/>
        </w:rPr>
        <w:tab/>
        <w:t>Memorandum from the Parliamentary Office</w:t>
      </w:r>
    </w:p>
    <w:p w:rsidR="001915DA" w:rsidRPr="00F62C54" w:rsidRDefault="001915DA" w:rsidP="00AC588D">
      <w:pPr>
        <w:jc w:val="center"/>
        <w:rPr>
          <w:rFonts w:ascii="Arial" w:hAnsi="Arial" w:cs="Arial"/>
          <w:b/>
          <w:bCs/>
          <w:lang w:val="en-ZA"/>
        </w:rPr>
      </w:pPr>
      <w:r w:rsidRPr="00F62C54">
        <w:rPr>
          <w:rFonts w:ascii="Arial" w:hAnsi="Arial" w:cs="Arial"/>
          <w:b/>
          <w:bCs/>
          <w:lang w:val="en-ZA"/>
        </w:rPr>
        <w:t xml:space="preserve">NATIONAL ASSEMBLY </w:t>
      </w:r>
    </w:p>
    <w:p w:rsidR="00C3677B" w:rsidRPr="00F62C54" w:rsidRDefault="00C3677B" w:rsidP="00AC588D">
      <w:pPr>
        <w:jc w:val="center"/>
        <w:rPr>
          <w:rFonts w:ascii="Arial" w:hAnsi="Arial" w:cs="Arial"/>
          <w:b/>
          <w:bCs/>
          <w:lang w:val="en-ZA"/>
        </w:rPr>
      </w:pPr>
      <w:r w:rsidRPr="00F62C54">
        <w:rPr>
          <w:rFonts w:ascii="Arial" w:hAnsi="Arial" w:cs="Arial"/>
          <w:b/>
          <w:bCs/>
          <w:lang w:val="en-ZA"/>
        </w:rPr>
        <w:t xml:space="preserve">FOR </w:t>
      </w:r>
      <w:r w:rsidR="00AA246C" w:rsidRPr="00F62C54">
        <w:rPr>
          <w:rFonts w:ascii="Arial" w:hAnsi="Arial" w:cs="Arial"/>
          <w:b/>
          <w:bCs/>
          <w:lang w:val="en-ZA"/>
        </w:rPr>
        <w:t>WRITTEN</w:t>
      </w:r>
      <w:r w:rsidRPr="00F62C54">
        <w:rPr>
          <w:rFonts w:ascii="Arial" w:hAnsi="Arial" w:cs="Arial"/>
          <w:b/>
          <w:bCs/>
          <w:lang w:val="en-ZA"/>
        </w:rPr>
        <w:t xml:space="preserve"> REPLY</w:t>
      </w:r>
    </w:p>
    <w:p w:rsidR="00C3677B" w:rsidRPr="00F62C54" w:rsidRDefault="00C654A2" w:rsidP="00AC588D">
      <w:pPr>
        <w:jc w:val="center"/>
        <w:rPr>
          <w:rFonts w:ascii="Arial" w:hAnsi="Arial" w:cs="Arial"/>
          <w:b/>
          <w:bCs/>
          <w:lang w:val="en-ZA"/>
        </w:rPr>
      </w:pPr>
      <w:r w:rsidRPr="00F62C54">
        <w:rPr>
          <w:rFonts w:ascii="Arial" w:hAnsi="Arial" w:cs="Arial"/>
          <w:b/>
          <w:bCs/>
          <w:lang w:val="en-ZA"/>
        </w:rPr>
        <w:t xml:space="preserve">QUESTION </w:t>
      </w:r>
      <w:r w:rsidR="00B41291" w:rsidRPr="00F62C54">
        <w:rPr>
          <w:rFonts w:ascii="Arial" w:hAnsi="Arial" w:cs="Arial"/>
          <w:b/>
          <w:bCs/>
          <w:lang w:val="en-ZA"/>
        </w:rPr>
        <w:t>2972</w:t>
      </w:r>
    </w:p>
    <w:p w:rsidR="00C3677B" w:rsidRPr="00F62C54" w:rsidRDefault="00C3677B" w:rsidP="00AC588D">
      <w:pPr>
        <w:jc w:val="center"/>
        <w:rPr>
          <w:rFonts w:ascii="Arial" w:hAnsi="Arial" w:cs="Arial"/>
          <w:b/>
          <w:bCs/>
          <w:u w:val="single"/>
          <w:lang w:val="en-ZA"/>
        </w:rPr>
      </w:pPr>
      <w:r w:rsidRPr="00F62C54">
        <w:rPr>
          <w:rFonts w:ascii="Arial" w:hAnsi="Arial" w:cs="Arial"/>
          <w:b/>
          <w:bCs/>
          <w:u w:val="single"/>
          <w:lang w:val="en-ZA"/>
        </w:rPr>
        <w:t>DATE OF PUBLICATIO</w:t>
      </w:r>
      <w:r w:rsidR="009B0E09" w:rsidRPr="00F62C54">
        <w:rPr>
          <w:rFonts w:ascii="Arial" w:hAnsi="Arial" w:cs="Arial"/>
          <w:b/>
          <w:bCs/>
          <w:u w:val="single"/>
          <w:lang w:val="en-ZA"/>
        </w:rPr>
        <w:t xml:space="preserve">N OF INTERNAL QUESTION PAPER: </w:t>
      </w:r>
      <w:r w:rsidR="00C10344" w:rsidRPr="00F62C54">
        <w:rPr>
          <w:rFonts w:ascii="Arial" w:hAnsi="Arial" w:cs="Arial"/>
          <w:b/>
          <w:bCs/>
          <w:u w:val="single"/>
          <w:lang w:val="en-ZA"/>
        </w:rPr>
        <w:t>19</w:t>
      </w:r>
      <w:r w:rsidR="00CB1096" w:rsidRPr="00F62C54">
        <w:rPr>
          <w:rFonts w:ascii="Arial" w:hAnsi="Arial" w:cs="Arial"/>
          <w:b/>
          <w:bCs/>
          <w:u w:val="single"/>
          <w:lang w:val="en-ZA"/>
        </w:rPr>
        <w:t>/</w:t>
      </w:r>
      <w:r w:rsidR="00454904" w:rsidRPr="00F62C54">
        <w:rPr>
          <w:rFonts w:ascii="Arial" w:hAnsi="Arial" w:cs="Arial"/>
          <w:b/>
          <w:bCs/>
          <w:u w:val="single"/>
          <w:lang w:val="en-ZA"/>
        </w:rPr>
        <w:t>10</w:t>
      </w:r>
      <w:r w:rsidR="00CB1096" w:rsidRPr="00F62C54">
        <w:rPr>
          <w:rFonts w:ascii="Arial" w:hAnsi="Arial" w:cs="Arial"/>
          <w:b/>
          <w:bCs/>
          <w:u w:val="single"/>
          <w:lang w:val="en-ZA"/>
        </w:rPr>
        <w:t>/</w:t>
      </w:r>
      <w:r w:rsidR="00F73D24" w:rsidRPr="00F62C54">
        <w:rPr>
          <w:rFonts w:ascii="Arial" w:hAnsi="Arial" w:cs="Arial"/>
          <w:b/>
          <w:bCs/>
          <w:u w:val="single"/>
          <w:lang w:val="en-ZA"/>
        </w:rPr>
        <w:t>201</w:t>
      </w:r>
      <w:r w:rsidR="002C0C62" w:rsidRPr="00F62C54">
        <w:rPr>
          <w:rFonts w:ascii="Arial" w:hAnsi="Arial" w:cs="Arial"/>
          <w:b/>
          <w:bCs/>
          <w:u w:val="single"/>
          <w:lang w:val="en-ZA"/>
        </w:rPr>
        <w:t>8</w:t>
      </w:r>
    </w:p>
    <w:p w:rsidR="00F177A6" w:rsidRPr="00F62C54" w:rsidRDefault="009B0E09" w:rsidP="00DA48EA">
      <w:pPr>
        <w:spacing w:after="120" w:line="360" w:lineRule="auto"/>
        <w:jc w:val="center"/>
        <w:rPr>
          <w:rFonts w:ascii="Arial" w:hAnsi="Arial" w:cs="Arial"/>
          <w:b/>
          <w:bCs/>
          <w:u w:val="single"/>
          <w:lang w:val="en-ZA"/>
        </w:rPr>
      </w:pPr>
      <w:r w:rsidRPr="00F62C54">
        <w:rPr>
          <w:rFonts w:ascii="Arial" w:hAnsi="Arial" w:cs="Arial"/>
          <w:b/>
          <w:bCs/>
          <w:u w:val="single"/>
          <w:lang w:val="en-ZA"/>
        </w:rPr>
        <w:t xml:space="preserve">(INTERNAL QUESTION PAPER </w:t>
      </w:r>
      <w:r w:rsidR="002C0C62" w:rsidRPr="00F62C54">
        <w:rPr>
          <w:rFonts w:ascii="Arial" w:hAnsi="Arial" w:cs="Arial"/>
          <w:b/>
          <w:bCs/>
          <w:u w:val="single"/>
          <w:lang w:val="en-ZA"/>
        </w:rPr>
        <w:t xml:space="preserve">NO </w:t>
      </w:r>
      <w:r w:rsidR="00C10344" w:rsidRPr="00F62C54">
        <w:rPr>
          <w:rFonts w:ascii="Arial" w:hAnsi="Arial" w:cs="Arial"/>
          <w:b/>
          <w:bCs/>
          <w:u w:val="single"/>
          <w:lang w:val="en-ZA"/>
        </w:rPr>
        <w:t>33</w:t>
      </w:r>
      <w:r w:rsidR="008A5D41" w:rsidRPr="00F62C54">
        <w:rPr>
          <w:rFonts w:ascii="Arial" w:hAnsi="Arial" w:cs="Arial"/>
          <w:b/>
          <w:bCs/>
          <w:u w:val="single"/>
          <w:lang w:val="en-ZA"/>
        </w:rPr>
        <w:t xml:space="preserve"> </w:t>
      </w:r>
      <w:r w:rsidR="00F73D24" w:rsidRPr="00F62C54">
        <w:rPr>
          <w:rFonts w:ascii="Arial" w:hAnsi="Arial" w:cs="Arial"/>
          <w:b/>
          <w:bCs/>
          <w:u w:val="single"/>
          <w:lang w:val="en-ZA"/>
        </w:rPr>
        <w:t>OF 201</w:t>
      </w:r>
      <w:r w:rsidR="002C0C62" w:rsidRPr="00F62C54">
        <w:rPr>
          <w:rFonts w:ascii="Arial" w:hAnsi="Arial" w:cs="Arial"/>
          <w:b/>
          <w:bCs/>
          <w:u w:val="single"/>
          <w:lang w:val="en-ZA"/>
        </w:rPr>
        <w:t>8</w:t>
      </w:r>
      <w:r w:rsidR="00E02103" w:rsidRPr="00F62C54">
        <w:rPr>
          <w:rFonts w:ascii="Arial" w:hAnsi="Arial" w:cs="Arial"/>
          <w:b/>
          <w:bCs/>
          <w:u w:val="single"/>
          <w:lang w:val="en-ZA"/>
        </w:rPr>
        <w:t>)</w:t>
      </w:r>
    </w:p>
    <w:p w:rsidR="00706CA8" w:rsidRPr="00F62C54" w:rsidRDefault="00C10344" w:rsidP="00DA48EA">
      <w:pPr>
        <w:spacing w:after="120" w:line="360" w:lineRule="auto"/>
        <w:jc w:val="both"/>
        <w:rPr>
          <w:rFonts w:ascii="Arial" w:hAnsi="Arial" w:cs="Arial"/>
          <w:b/>
          <w:noProof/>
          <w:lang w:val="af-ZA"/>
        </w:rPr>
      </w:pPr>
      <w:r w:rsidRPr="00F62C54">
        <w:rPr>
          <w:rFonts w:ascii="Arial" w:hAnsi="Arial" w:cs="Arial"/>
          <w:b/>
          <w:bCs/>
          <w:lang w:val="en-ZA"/>
        </w:rPr>
        <w:t xml:space="preserve">Mr A P van der Westhuizen (DA) </w:t>
      </w:r>
      <w:r w:rsidR="002A76BD" w:rsidRPr="00F62C54">
        <w:rPr>
          <w:rFonts w:ascii="Arial" w:hAnsi="Arial" w:cs="Arial"/>
          <w:b/>
          <w:noProof/>
          <w:lang w:val="af-ZA"/>
        </w:rPr>
        <w:t>to ask the Minister of Higher Education and Training:</w:t>
      </w:r>
    </w:p>
    <w:p w:rsidR="00B41291" w:rsidRPr="00F62C54" w:rsidRDefault="00B41291" w:rsidP="00B41291">
      <w:pPr>
        <w:spacing w:after="120" w:line="360" w:lineRule="auto"/>
        <w:ind w:left="567" w:hanging="567"/>
        <w:jc w:val="both"/>
        <w:rPr>
          <w:rFonts w:ascii="Arial" w:eastAsia="Cambria" w:hAnsi="Arial" w:cs="Arial"/>
        </w:rPr>
      </w:pPr>
      <w:r w:rsidRPr="00F62C54">
        <w:rPr>
          <w:rFonts w:ascii="Arial" w:eastAsia="Cambria" w:hAnsi="Arial" w:cs="Arial"/>
        </w:rPr>
        <w:t>(1)</w:t>
      </w:r>
      <w:r w:rsidRPr="00F62C54">
        <w:rPr>
          <w:rFonts w:ascii="Arial" w:eastAsia="Cambria" w:hAnsi="Arial" w:cs="Arial"/>
        </w:rPr>
        <w:tab/>
        <w:t>What number of applications for accreditation of educational programmes were (a) received and (b) finalised by the Council on Higher Education in each of the past three financial years;</w:t>
      </w:r>
    </w:p>
    <w:p w:rsidR="00B41291" w:rsidRPr="00F62C54" w:rsidRDefault="00B41291" w:rsidP="00B41291">
      <w:pPr>
        <w:spacing w:after="120" w:line="360" w:lineRule="auto"/>
        <w:ind w:left="567" w:hanging="567"/>
        <w:jc w:val="both"/>
        <w:rPr>
          <w:rFonts w:ascii="Arial" w:eastAsia="Cambria" w:hAnsi="Arial" w:cs="Arial"/>
        </w:rPr>
      </w:pPr>
      <w:r w:rsidRPr="00F62C54">
        <w:rPr>
          <w:rFonts w:ascii="Arial" w:eastAsia="Cambria" w:hAnsi="Arial" w:cs="Arial"/>
        </w:rPr>
        <w:t>(2)</w:t>
      </w:r>
      <w:r w:rsidRPr="00F62C54">
        <w:rPr>
          <w:rFonts w:ascii="Arial" w:eastAsia="Cambria" w:hAnsi="Arial" w:cs="Arial"/>
        </w:rPr>
        <w:tab/>
        <w:t>what (a) number and (b) percentage of the applications were eventually approved;</w:t>
      </w:r>
    </w:p>
    <w:p w:rsidR="00B41291" w:rsidRPr="00F62C54" w:rsidRDefault="00B41291" w:rsidP="00B41291">
      <w:pPr>
        <w:spacing w:after="120" w:line="360" w:lineRule="auto"/>
        <w:ind w:left="567" w:hanging="567"/>
        <w:jc w:val="both"/>
        <w:rPr>
          <w:rFonts w:ascii="Arial" w:eastAsia="Cambria" w:hAnsi="Arial" w:cs="Arial"/>
        </w:rPr>
      </w:pPr>
      <w:r w:rsidRPr="00F62C54">
        <w:rPr>
          <w:rFonts w:ascii="Arial" w:eastAsia="Cambria" w:hAnsi="Arial" w:cs="Arial"/>
        </w:rPr>
        <w:t>(3)</w:t>
      </w:r>
      <w:r w:rsidRPr="00F62C54">
        <w:rPr>
          <w:rFonts w:ascii="Arial" w:eastAsia="Cambria" w:hAnsi="Arial" w:cs="Arial"/>
        </w:rPr>
        <w:tab/>
        <w:t>what (a) number of applications are currently under consideration by the Council on Higher Education and (b) is the average time from the receipt of the application to the final adjudication on the application for accreditation of educational programmes;</w:t>
      </w:r>
    </w:p>
    <w:p w:rsidR="008C3B46" w:rsidRPr="00F62C54" w:rsidRDefault="00B41291" w:rsidP="00B41291">
      <w:pPr>
        <w:spacing w:after="120" w:line="360" w:lineRule="auto"/>
        <w:ind w:left="567" w:hanging="567"/>
        <w:jc w:val="both"/>
        <w:rPr>
          <w:rFonts w:ascii="Arial" w:eastAsia="Cambria" w:hAnsi="Arial" w:cs="Arial"/>
        </w:rPr>
      </w:pPr>
      <w:r w:rsidRPr="00F62C54">
        <w:rPr>
          <w:rFonts w:ascii="Arial" w:eastAsia="Cambria" w:hAnsi="Arial" w:cs="Arial"/>
        </w:rPr>
        <w:t>(4)</w:t>
      </w:r>
      <w:r w:rsidRPr="00F62C54">
        <w:rPr>
          <w:rFonts w:ascii="Arial" w:eastAsia="Cambria" w:hAnsi="Arial" w:cs="Arial"/>
        </w:rPr>
        <w:tab/>
        <w:t>(a) how is the fee per application calculated and (b) what is the (i) total income and (ii) average fee levied per application for accreditation?</w:t>
      </w:r>
    </w:p>
    <w:p w:rsidR="001915DA" w:rsidRPr="00F62C54" w:rsidRDefault="00B41291" w:rsidP="008C3B46">
      <w:pPr>
        <w:spacing w:after="120" w:line="360" w:lineRule="auto"/>
        <w:ind w:left="567" w:firstLine="7655"/>
        <w:jc w:val="both"/>
        <w:rPr>
          <w:rFonts w:ascii="Arial" w:hAnsi="Arial" w:cs="Arial"/>
          <w:b/>
        </w:rPr>
      </w:pPr>
      <w:r w:rsidRPr="00F62C54">
        <w:rPr>
          <w:rFonts w:ascii="Arial" w:hAnsi="Arial" w:cs="Arial"/>
          <w:b/>
        </w:rPr>
        <w:t xml:space="preserve">NW3286E </w:t>
      </w:r>
      <w:r w:rsidR="001915DA" w:rsidRPr="00F62C54">
        <w:rPr>
          <w:rFonts w:ascii="Arial" w:hAnsi="Arial" w:cs="Arial"/>
          <w:b/>
        </w:rPr>
        <w:br w:type="page"/>
      </w:r>
    </w:p>
    <w:p w:rsidR="007D5278" w:rsidRPr="00F62C54" w:rsidRDefault="00B12389" w:rsidP="00F92071">
      <w:pPr>
        <w:spacing w:after="240" w:line="360" w:lineRule="auto"/>
        <w:jc w:val="both"/>
        <w:rPr>
          <w:rFonts w:ascii="Arial" w:hAnsi="Arial" w:cs="Arial"/>
          <w:b/>
        </w:rPr>
      </w:pPr>
      <w:r w:rsidRPr="00F62C54">
        <w:rPr>
          <w:rFonts w:ascii="Arial" w:hAnsi="Arial" w:cs="Arial"/>
          <w:b/>
        </w:rPr>
        <w:lastRenderedPageBreak/>
        <w:t>R</w:t>
      </w:r>
      <w:r w:rsidR="00FC1A3C" w:rsidRPr="00F62C54">
        <w:rPr>
          <w:rFonts w:ascii="Arial" w:hAnsi="Arial" w:cs="Arial"/>
          <w:b/>
        </w:rPr>
        <w:t>EPLY:</w:t>
      </w:r>
    </w:p>
    <w:p w:rsidR="00014D27" w:rsidRPr="00C75599" w:rsidRDefault="00014D27" w:rsidP="00C75599">
      <w:pPr>
        <w:spacing w:line="360" w:lineRule="auto"/>
        <w:jc w:val="both"/>
        <w:rPr>
          <w:rFonts w:ascii="Arial" w:hAnsi="Arial" w:cs="Arial"/>
        </w:rPr>
      </w:pPr>
      <w:r w:rsidRPr="00C75599">
        <w:rPr>
          <w:rFonts w:ascii="Arial" w:hAnsi="Arial" w:cs="Arial"/>
        </w:rPr>
        <w:t>The Council on Higher Education (CHE) provided the following response to the question</w:t>
      </w:r>
      <w:r w:rsidR="00936DAF" w:rsidRPr="00C75599">
        <w:rPr>
          <w:rFonts w:ascii="Arial" w:hAnsi="Arial" w:cs="Arial"/>
        </w:rPr>
        <w:t>s</w:t>
      </w:r>
      <w:r w:rsidR="007911D3" w:rsidRPr="00C75599">
        <w:rPr>
          <w:rFonts w:ascii="Arial" w:hAnsi="Arial" w:cs="Arial"/>
        </w:rPr>
        <w:t xml:space="preserve"> posed</w:t>
      </w:r>
      <w:r w:rsidRPr="00C75599">
        <w:rPr>
          <w:rFonts w:ascii="Arial" w:hAnsi="Arial" w:cs="Arial"/>
        </w:rPr>
        <w:t xml:space="preserve">. </w:t>
      </w:r>
    </w:p>
    <w:p w:rsidR="00CB55E8" w:rsidRPr="00C75599" w:rsidRDefault="007911D3" w:rsidP="00C75599">
      <w:pPr>
        <w:pStyle w:val="ListParagraph"/>
        <w:numPr>
          <w:ilvl w:val="0"/>
          <w:numId w:val="33"/>
        </w:numPr>
        <w:tabs>
          <w:tab w:val="left" w:pos="284"/>
        </w:tabs>
        <w:spacing w:line="360" w:lineRule="auto"/>
        <w:ind w:left="709" w:hanging="709"/>
        <w:contextualSpacing w:val="0"/>
        <w:jc w:val="both"/>
        <w:rPr>
          <w:rFonts w:ascii="Arial" w:eastAsia="Cambria" w:hAnsi="Arial" w:cs="Arial"/>
        </w:rPr>
      </w:pPr>
      <w:r w:rsidRPr="00C75599">
        <w:rPr>
          <w:rFonts w:ascii="Arial" w:eastAsia="Cambria" w:hAnsi="Arial" w:cs="Arial"/>
        </w:rPr>
        <w:t xml:space="preserve"> </w:t>
      </w:r>
      <w:r w:rsidR="00C75599">
        <w:rPr>
          <w:rFonts w:ascii="Arial" w:eastAsia="Cambria" w:hAnsi="Arial" w:cs="Arial"/>
        </w:rPr>
        <w:t>- (2)  T</w:t>
      </w:r>
      <w:r w:rsidR="00C75599" w:rsidRPr="00C75599">
        <w:rPr>
          <w:rFonts w:ascii="Arial" w:eastAsia="Cambria" w:hAnsi="Arial" w:cs="Arial"/>
        </w:rPr>
        <w:t>he t</w:t>
      </w:r>
      <w:r w:rsidRPr="00C75599">
        <w:rPr>
          <w:rFonts w:ascii="Arial" w:eastAsia="Cambria" w:hAnsi="Arial" w:cs="Arial"/>
        </w:rPr>
        <w:t>able below show</w:t>
      </w:r>
      <w:r w:rsidR="00936DAF" w:rsidRPr="00C75599">
        <w:rPr>
          <w:rFonts w:ascii="Arial" w:eastAsia="Cambria" w:hAnsi="Arial" w:cs="Arial"/>
        </w:rPr>
        <w:t>s</w:t>
      </w:r>
      <w:r w:rsidRPr="00C75599">
        <w:rPr>
          <w:rFonts w:ascii="Arial" w:eastAsia="Cambria" w:hAnsi="Arial" w:cs="Arial"/>
        </w:rPr>
        <w:t xml:space="preserve"> </w:t>
      </w:r>
      <w:r w:rsidR="00936DAF" w:rsidRPr="00C75599">
        <w:rPr>
          <w:rFonts w:ascii="Arial" w:eastAsia="Cambria" w:hAnsi="Arial" w:cs="Arial"/>
        </w:rPr>
        <w:t xml:space="preserve">the </w:t>
      </w:r>
      <w:r w:rsidRPr="00C75599">
        <w:rPr>
          <w:rFonts w:ascii="Arial" w:eastAsia="Cambria" w:hAnsi="Arial" w:cs="Arial"/>
        </w:rPr>
        <w:t xml:space="preserve">number of applications </w:t>
      </w:r>
      <w:r w:rsidR="00936DAF" w:rsidRPr="00C75599">
        <w:rPr>
          <w:rFonts w:ascii="Arial" w:eastAsia="Cambria" w:hAnsi="Arial" w:cs="Arial"/>
        </w:rPr>
        <w:t>received</w:t>
      </w:r>
      <w:r w:rsidR="00C75599">
        <w:rPr>
          <w:rFonts w:ascii="Arial" w:eastAsia="Cambria" w:hAnsi="Arial" w:cs="Arial"/>
        </w:rPr>
        <w:t>, finalised</w:t>
      </w:r>
      <w:r w:rsidR="00936DAF" w:rsidRPr="00C75599">
        <w:rPr>
          <w:rFonts w:ascii="Arial" w:eastAsia="Cambria" w:hAnsi="Arial" w:cs="Arial"/>
        </w:rPr>
        <w:t xml:space="preserve"> </w:t>
      </w:r>
      <w:r w:rsidR="00C75599">
        <w:rPr>
          <w:rFonts w:ascii="Arial" w:eastAsia="Cambria" w:hAnsi="Arial" w:cs="Arial"/>
        </w:rPr>
        <w:t>and accredited</w:t>
      </w:r>
      <w:r w:rsidRPr="00C75599">
        <w:rPr>
          <w:rFonts w:ascii="Arial" w:eastAsia="Cambria" w:hAnsi="Arial" w:cs="Arial"/>
        </w:rPr>
        <w:t>:</w:t>
      </w:r>
    </w:p>
    <w:tbl>
      <w:tblPr>
        <w:tblStyle w:val="TableGrid"/>
        <w:tblW w:w="8689" w:type="dxa"/>
        <w:tblInd w:w="661" w:type="dxa"/>
        <w:tblLook w:val="04A0" w:firstRow="1" w:lastRow="0" w:firstColumn="1" w:lastColumn="0" w:noHBand="0" w:noVBand="1"/>
      </w:tblPr>
      <w:tblGrid>
        <w:gridCol w:w="1602"/>
        <w:gridCol w:w="1985"/>
        <w:gridCol w:w="1701"/>
        <w:gridCol w:w="1701"/>
        <w:gridCol w:w="1700"/>
      </w:tblGrid>
      <w:tr w:rsidR="002836A3" w:rsidRPr="00C75599" w:rsidTr="002836A3">
        <w:trPr>
          <w:trHeight w:val="39"/>
          <w:tblHeader/>
        </w:trPr>
        <w:tc>
          <w:tcPr>
            <w:tcW w:w="1602" w:type="dxa"/>
            <w:tcBorders>
              <w:left w:val="single" w:sz="4" w:space="0" w:color="808080" w:themeColor="background1" w:themeShade="80"/>
            </w:tcBorders>
            <w:shd w:val="clear" w:color="auto" w:fill="auto"/>
            <w:vAlign w:val="center"/>
          </w:tcPr>
          <w:p w:rsidR="002836A3" w:rsidRPr="00C75599" w:rsidRDefault="002836A3" w:rsidP="002836A3">
            <w:pPr>
              <w:pStyle w:val="NoSpacing"/>
              <w:spacing w:before="60" w:after="60"/>
              <w:jc w:val="center"/>
              <w:rPr>
                <w:rFonts w:ascii="Arial" w:eastAsia="Cambria" w:hAnsi="Arial" w:cs="Arial"/>
                <w:b/>
              </w:rPr>
            </w:pPr>
            <w:r w:rsidRPr="00C75599">
              <w:rPr>
                <w:rFonts w:ascii="Arial" w:eastAsia="Cambria" w:hAnsi="Arial" w:cs="Arial"/>
                <w:b/>
              </w:rPr>
              <w:t>Financial year</w:t>
            </w:r>
          </w:p>
        </w:tc>
        <w:tc>
          <w:tcPr>
            <w:tcW w:w="1985" w:type="dxa"/>
            <w:shd w:val="clear" w:color="auto" w:fill="auto"/>
            <w:vAlign w:val="center"/>
          </w:tcPr>
          <w:p w:rsidR="002836A3" w:rsidRPr="00C75599" w:rsidRDefault="002836A3" w:rsidP="002836A3">
            <w:pPr>
              <w:pStyle w:val="NoSpacing"/>
              <w:spacing w:before="60" w:after="60"/>
              <w:jc w:val="center"/>
              <w:rPr>
                <w:rFonts w:ascii="Arial" w:eastAsia="Cambria" w:hAnsi="Arial" w:cs="Arial"/>
                <w:b/>
              </w:rPr>
            </w:pPr>
            <w:r>
              <w:rPr>
                <w:rFonts w:ascii="Arial" w:eastAsia="Cambria" w:hAnsi="Arial" w:cs="Arial"/>
                <w:b/>
              </w:rPr>
              <w:t>Applications received</w:t>
            </w:r>
          </w:p>
        </w:tc>
        <w:tc>
          <w:tcPr>
            <w:tcW w:w="1701" w:type="dxa"/>
            <w:vAlign w:val="center"/>
          </w:tcPr>
          <w:p w:rsidR="002836A3" w:rsidRDefault="002836A3" w:rsidP="002836A3">
            <w:pPr>
              <w:pStyle w:val="NoSpacing"/>
              <w:spacing w:before="60" w:after="60"/>
              <w:jc w:val="center"/>
              <w:rPr>
                <w:rFonts w:ascii="Arial" w:eastAsia="Cambria" w:hAnsi="Arial" w:cs="Arial"/>
                <w:b/>
              </w:rPr>
            </w:pPr>
            <w:r>
              <w:rPr>
                <w:rFonts w:ascii="Arial" w:eastAsia="Cambria" w:hAnsi="Arial" w:cs="Arial"/>
                <w:b/>
              </w:rPr>
              <w:t>Applications finalised</w:t>
            </w:r>
          </w:p>
        </w:tc>
        <w:tc>
          <w:tcPr>
            <w:tcW w:w="1701" w:type="dxa"/>
            <w:vAlign w:val="center"/>
          </w:tcPr>
          <w:p w:rsidR="002836A3" w:rsidRDefault="002836A3" w:rsidP="002836A3">
            <w:pPr>
              <w:pStyle w:val="NoSpacing"/>
              <w:spacing w:before="60" w:after="60"/>
              <w:jc w:val="center"/>
              <w:rPr>
                <w:rFonts w:ascii="Arial" w:eastAsia="Cambria" w:hAnsi="Arial" w:cs="Arial"/>
                <w:b/>
              </w:rPr>
            </w:pPr>
            <w:r>
              <w:rPr>
                <w:rFonts w:ascii="Arial" w:eastAsia="Cambria" w:hAnsi="Arial" w:cs="Arial"/>
                <w:b/>
              </w:rPr>
              <w:t>Applications accredited</w:t>
            </w:r>
          </w:p>
        </w:tc>
        <w:tc>
          <w:tcPr>
            <w:tcW w:w="1700" w:type="dxa"/>
            <w:vAlign w:val="center"/>
          </w:tcPr>
          <w:p w:rsidR="002836A3" w:rsidRDefault="002836A3" w:rsidP="002836A3">
            <w:pPr>
              <w:pStyle w:val="NoSpacing"/>
              <w:spacing w:before="60" w:after="60"/>
              <w:jc w:val="center"/>
              <w:rPr>
                <w:rFonts w:ascii="Arial" w:eastAsia="Cambria" w:hAnsi="Arial" w:cs="Arial"/>
                <w:b/>
              </w:rPr>
            </w:pPr>
            <w:r>
              <w:rPr>
                <w:rFonts w:ascii="Arial" w:eastAsia="Cambria" w:hAnsi="Arial" w:cs="Arial"/>
                <w:b/>
              </w:rPr>
              <w:t>Percentage of finalised accredited</w:t>
            </w:r>
          </w:p>
        </w:tc>
      </w:tr>
      <w:tr w:rsidR="002836A3" w:rsidRPr="00C75599" w:rsidTr="002836A3">
        <w:trPr>
          <w:trHeight w:val="39"/>
          <w:tblHeader/>
        </w:trPr>
        <w:tc>
          <w:tcPr>
            <w:tcW w:w="1602" w:type="dxa"/>
            <w:tcBorders>
              <w:left w:val="single" w:sz="4" w:space="0" w:color="808080" w:themeColor="background1" w:themeShade="80"/>
            </w:tcBorders>
            <w:shd w:val="clear" w:color="auto" w:fill="auto"/>
            <w:vAlign w:val="center"/>
          </w:tcPr>
          <w:p w:rsidR="002836A3" w:rsidRPr="00C75599" w:rsidRDefault="002836A3" w:rsidP="008E55C8">
            <w:pPr>
              <w:pStyle w:val="NoSpacing"/>
              <w:spacing w:before="60" w:after="60"/>
              <w:jc w:val="center"/>
              <w:rPr>
                <w:rFonts w:ascii="Arial" w:eastAsia="Cambria" w:hAnsi="Arial" w:cs="Arial"/>
              </w:rPr>
            </w:pPr>
            <w:r w:rsidRPr="00C75599">
              <w:rPr>
                <w:rFonts w:ascii="Arial" w:eastAsia="Cambria" w:hAnsi="Arial" w:cs="Arial"/>
              </w:rPr>
              <w:t>2015/16</w:t>
            </w:r>
          </w:p>
        </w:tc>
        <w:tc>
          <w:tcPr>
            <w:tcW w:w="1985" w:type="dxa"/>
            <w:shd w:val="clear" w:color="auto" w:fill="auto"/>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483</w:t>
            </w:r>
          </w:p>
        </w:tc>
        <w:tc>
          <w:tcPr>
            <w:tcW w:w="1701" w:type="dxa"/>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424</w:t>
            </w:r>
          </w:p>
        </w:tc>
        <w:tc>
          <w:tcPr>
            <w:tcW w:w="1701"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292</w:t>
            </w:r>
          </w:p>
        </w:tc>
        <w:tc>
          <w:tcPr>
            <w:tcW w:w="1700"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68</w:t>
            </w:r>
            <w:r>
              <w:rPr>
                <w:rFonts w:ascii="Arial" w:hAnsi="Arial" w:cs="Arial"/>
                <w:lang w:val="en-ZA"/>
              </w:rPr>
              <w:t>%</w:t>
            </w:r>
          </w:p>
        </w:tc>
      </w:tr>
      <w:tr w:rsidR="002836A3" w:rsidRPr="00C75599" w:rsidTr="002836A3">
        <w:trPr>
          <w:trHeight w:val="39"/>
          <w:tblHeader/>
        </w:trPr>
        <w:tc>
          <w:tcPr>
            <w:tcW w:w="1602" w:type="dxa"/>
            <w:tcBorders>
              <w:left w:val="single" w:sz="4" w:space="0" w:color="808080" w:themeColor="background1" w:themeShade="80"/>
            </w:tcBorders>
            <w:shd w:val="clear" w:color="auto" w:fill="auto"/>
            <w:vAlign w:val="center"/>
          </w:tcPr>
          <w:p w:rsidR="002836A3" w:rsidRPr="00C75599" w:rsidRDefault="002836A3" w:rsidP="008E55C8">
            <w:pPr>
              <w:pStyle w:val="NoSpacing"/>
              <w:spacing w:before="60" w:after="60"/>
              <w:jc w:val="center"/>
              <w:rPr>
                <w:rFonts w:ascii="Arial" w:eastAsia="Cambria" w:hAnsi="Arial" w:cs="Arial"/>
              </w:rPr>
            </w:pPr>
            <w:r w:rsidRPr="00C75599">
              <w:rPr>
                <w:rFonts w:ascii="Arial" w:eastAsia="Cambria" w:hAnsi="Arial" w:cs="Arial"/>
              </w:rPr>
              <w:t>2016/17</w:t>
            </w:r>
          </w:p>
        </w:tc>
        <w:tc>
          <w:tcPr>
            <w:tcW w:w="1985" w:type="dxa"/>
            <w:shd w:val="clear" w:color="auto" w:fill="auto"/>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463</w:t>
            </w:r>
          </w:p>
        </w:tc>
        <w:tc>
          <w:tcPr>
            <w:tcW w:w="1701" w:type="dxa"/>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681</w:t>
            </w:r>
          </w:p>
        </w:tc>
        <w:tc>
          <w:tcPr>
            <w:tcW w:w="1701"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549</w:t>
            </w:r>
          </w:p>
        </w:tc>
        <w:tc>
          <w:tcPr>
            <w:tcW w:w="1700"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81</w:t>
            </w:r>
            <w:r>
              <w:rPr>
                <w:rFonts w:ascii="Arial" w:hAnsi="Arial" w:cs="Arial"/>
                <w:lang w:val="en-ZA"/>
              </w:rPr>
              <w:t>%</w:t>
            </w:r>
          </w:p>
        </w:tc>
      </w:tr>
      <w:tr w:rsidR="002836A3" w:rsidRPr="00C75599" w:rsidTr="002836A3">
        <w:trPr>
          <w:trHeight w:val="39"/>
          <w:tblHeader/>
        </w:trPr>
        <w:tc>
          <w:tcPr>
            <w:tcW w:w="1602" w:type="dxa"/>
            <w:tcBorders>
              <w:left w:val="single" w:sz="4" w:space="0" w:color="808080" w:themeColor="background1" w:themeShade="80"/>
            </w:tcBorders>
            <w:shd w:val="clear" w:color="auto" w:fill="auto"/>
            <w:vAlign w:val="center"/>
          </w:tcPr>
          <w:p w:rsidR="002836A3" w:rsidRPr="00C75599" w:rsidRDefault="002836A3" w:rsidP="008E55C8">
            <w:pPr>
              <w:pStyle w:val="NoSpacing"/>
              <w:spacing w:before="60" w:after="60"/>
              <w:jc w:val="center"/>
              <w:rPr>
                <w:rFonts w:ascii="Arial" w:eastAsia="Cambria" w:hAnsi="Arial" w:cs="Arial"/>
              </w:rPr>
            </w:pPr>
            <w:r w:rsidRPr="00C75599">
              <w:rPr>
                <w:rFonts w:ascii="Arial" w:eastAsia="Cambria" w:hAnsi="Arial" w:cs="Arial"/>
              </w:rPr>
              <w:t>2017/18</w:t>
            </w:r>
          </w:p>
        </w:tc>
        <w:tc>
          <w:tcPr>
            <w:tcW w:w="1985" w:type="dxa"/>
            <w:shd w:val="clear" w:color="auto" w:fill="auto"/>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580</w:t>
            </w:r>
          </w:p>
        </w:tc>
        <w:tc>
          <w:tcPr>
            <w:tcW w:w="1701" w:type="dxa"/>
            <w:vAlign w:val="center"/>
          </w:tcPr>
          <w:p w:rsidR="002836A3" w:rsidRPr="00C75599" w:rsidRDefault="002836A3" w:rsidP="002836A3">
            <w:pPr>
              <w:pStyle w:val="NoSpacing"/>
              <w:spacing w:before="60" w:after="60"/>
              <w:jc w:val="center"/>
              <w:rPr>
                <w:rFonts w:ascii="Arial" w:eastAsia="Cambria" w:hAnsi="Arial" w:cs="Arial"/>
              </w:rPr>
            </w:pPr>
            <w:r w:rsidRPr="00C75599">
              <w:rPr>
                <w:rFonts w:ascii="Arial" w:eastAsia="Cambria" w:hAnsi="Arial" w:cs="Arial"/>
              </w:rPr>
              <w:t>784</w:t>
            </w:r>
          </w:p>
        </w:tc>
        <w:tc>
          <w:tcPr>
            <w:tcW w:w="1701"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610</w:t>
            </w:r>
          </w:p>
        </w:tc>
        <w:tc>
          <w:tcPr>
            <w:tcW w:w="1700" w:type="dxa"/>
          </w:tcPr>
          <w:p w:rsidR="002836A3" w:rsidRPr="00C75599" w:rsidRDefault="002836A3" w:rsidP="002836A3">
            <w:pPr>
              <w:pStyle w:val="ListParagraph"/>
              <w:spacing w:before="60" w:after="60" w:line="240" w:lineRule="auto"/>
              <w:ind w:left="0"/>
              <w:contextualSpacing w:val="0"/>
              <w:jc w:val="center"/>
              <w:rPr>
                <w:rFonts w:ascii="Arial" w:hAnsi="Arial" w:cs="Arial"/>
                <w:lang w:val="en-ZA"/>
              </w:rPr>
            </w:pPr>
            <w:r w:rsidRPr="00C75599">
              <w:rPr>
                <w:rFonts w:ascii="Arial" w:hAnsi="Arial" w:cs="Arial"/>
                <w:lang w:val="en-ZA"/>
              </w:rPr>
              <w:t>78</w:t>
            </w:r>
            <w:r>
              <w:rPr>
                <w:rFonts w:ascii="Arial" w:hAnsi="Arial" w:cs="Arial"/>
                <w:lang w:val="en-ZA"/>
              </w:rPr>
              <w:t>%</w:t>
            </w:r>
          </w:p>
        </w:tc>
      </w:tr>
    </w:tbl>
    <w:p w:rsidR="002836A3" w:rsidRDefault="000035B7" w:rsidP="002836A3">
      <w:pPr>
        <w:pStyle w:val="ListParagraph"/>
        <w:spacing w:before="200" w:line="360" w:lineRule="auto"/>
        <w:ind w:left="709"/>
        <w:contextualSpacing w:val="0"/>
        <w:jc w:val="both"/>
        <w:rPr>
          <w:rFonts w:ascii="Arial" w:hAnsi="Arial" w:cs="Arial"/>
          <w:lang w:val="en-ZA"/>
        </w:rPr>
      </w:pPr>
      <w:r w:rsidRPr="00C75599">
        <w:rPr>
          <w:rFonts w:ascii="Arial" w:hAnsi="Arial" w:cs="Arial"/>
          <w:lang w:val="en-ZA"/>
        </w:rPr>
        <w:t xml:space="preserve">It should </w:t>
      </w:r>
      <w:r w:rsidRPr="008E55C8">
        <w:rPr>
          <w:rFonts w:ascii="Arial" w:hAnsi="Arial" w:cs="Arial"/>
          <w:noProof/>
          <w:lang w:val="en-ZA"/>
        </w:rPr>
        <w:t>be noted</w:t>
      </w:r>
      <w:r w:rsidRPr="00C75599">
        <w:rPr>
          <w:rFonts w:ascii="Arial" w:hAnsi="Arial" w:cs="Arial"/>
          <w:lang w:val="en-ZA"/>
        </w:rPr>
        <w:t xml:space="preserve"> that programmes submitted in one fi</w:t>
      </w:r>
      <w:r w:rsidR="007911D3" w:rsidRPr="00C75599">
        <w:rPr>
          <w:rFonts w:ascii="Arial" w:hAnsi="Arial" w:cs="Arial"/>
          <w:lang w:val="en-ZA"/>
        </w:rPr>
        <w:t xml:space="preserve">nancial year </w:t>
      </w:r>
      <w:r w:rsidR="008E55C8" w:rsidRPr="00C75599">
        <w:rPr>
          <w:rFonts w:ascii="Arial" w:hAnsi="Arial" w:cs="Arial"/>
          <w:lang w:val="en-ZA"/>
        </w:rPr>
        <w:t>might</w:t>
      </w:r>
      <w:r w:rsidR="007911D3" w:rsidRPr="00C75599">
        <w:rPr>
          <w:rFonts w:ascii="Arial" w:hAnsi="Arial" w:cs="Arial"/>
          <w:lang w:val="en-ZA"/>
        </w:rPr>
        <w:t xml:space="preserve"> only receive a</w:t>
      </w:r>
      <w:r w:rsidRPr="00C75599">
        <w:rPr>
          <w:rFonts w:ascii="Arial" w:hAnsi="Arial" w:cs="Arial"/>
          <w:lang w:val="en-ZA"/>
        </w:rPr>
        <w:t xml:space="preserve"> H</w:t>
      </w:r>
      <w:r w:rsidR="003068EB" w:rsidRPr="00C75599">
        <w:rPr>
          <w:rFonts w:ascii="Arial" w:hAnsi="Arial" w:cs="Arial"/>
          <w:lang w:val="en-ZA"/>
        </w:rPr>
        <w:t xml:space="preserve">igher </w:t>
      </w:r>
      <w:r w:rsidRPr="00C75599">
        <w:rPr>
          <w:rFonts w:ascii="Arial" w:hAnsi="Arial" w:cs="Arial"/>
          <w:lang w:val="en-ZA"/>
        </w:rPr>
        <w:t>E</w:t>
      </w:r>
      <w:r w:rsidR="003068EB" w:rsidRPr="00C75599">
        <w:rPr>
          <w:rFonts w:ascii="Arial" w:hAnsi="Arial" w:cs="Arial"/>
          <w:lang w:val="en-ZA"/>
        </w:rPr>
        <w:t xml:space="preserve">ducation Quality </w:t>
      </w:r>
      <w:r w:rsidRPr="00C75599">
        <w:rPr>
          <w:rFonts w:ascii="Arial" w:hAnsi="Arial" w:cs="Arial"/>
          <w:lang w:val="en-ZA"/>
        </w:rPr>
        <w:t>C</w:t>
      </w:r>
      <w:r w:rsidR="008E55C8">
        <w:rPr>
          <w:rFonts w:ascii="Arial" w:hAnsi="Arial" w:cs="Arial"/>
          <w:lang w:val="en-ZA"/>
        </w:rPr>
        <w:t xml:space="preserve">ommittee </w:t>
      </w:r>
      <w:r w:rsidRPr="00C75599">
        <w:rPr>
          <w:rFonts w:ascii="Arial" w:hAnsi="Arial" w:cs="Arial"/>
          <w:lang w:val="en-ZA"/>
        </w:rPr>
        <w:t>outcome in the following financial year.</w:t>
      </w:r>
      <w:r w:rsidR="00014D27" w:rsidRPr="00C75599">
        <w:rPr>
          <w:rFonts w:ascii="Arial" w:hAnsi="Arial" w:cs="Arial"/>
          <w:lang w:val="en-ZA"/>
        </w:rPr>
        <w:t xml:space="preserve"> </w:t>
      </w:r>
    </w:p>
    <w:p w:rsidR="000D438F" w:rsidRPr="00C75599" w:rsidRDefault="002836A3" w:rsidP="002836A3">
      <w:pPr>
        <w:pStyle w:val="ListParagraph"/>
        <w:tabs>
          <w:tab w:val="left" w:pos="426"/>
        </w:tabs>
        <w:spacing w:before="200" w:line="360" w:lineRule="auto"/>
        <w:ind w:left="851" w:hanging="851"/>
        <w:contextualSpacing w:val="0"/>
        <w:jc w:val="both"/>
        <w:rPr>
          <w:rFonts w:ascii="Arial" w:eastAsia="Cambria" w:hAnsi="Arial" w:cs="Arial"/>
        </w:rPr>
      </w:pPr>
      <w:r>
        <w:rPr>
          <w:rFonts w:ascii="Arial" w:hAnsi="Arial" w:cs="Arial"/>
          <w:lang w:val="en-ZA"/>
        </w:rPr>
        <w:t xml:space="preserve">(3) </w:t>
      </w:r>
      <w:r>
        <w:rPr>
          <w:rFonts w:ascii="Arial" w:hAnsi="Arial" w:cs="Arial"/>
          <w:lang w:val="en-ZA"/>
        </w:rPr>
        <w:tab/>
      </w:r>
      <w:r w:rsidR="000E3AD2" w:rsidRPr="00C75599">
        <w:rPr>
          <w:rFonts w:ascii="Arial" w:eastAsia="Cambria" w:hAnsi="Arial" w:cs="Arial"/>
        </w:rPr>
        <w:t>(a)</w:t>
      </w:r>
      <w:r w:rsidR="00ED0B9E" w:rsidRPr="00C75599">
        <w:rPr>
          <w:rFonts w:ascii="Arial" w:eastAsia="Cambria" w:hAnsi="Arial" w:cs="Arial"/>
        </w:rPr>
        <w:tab/>
      </w:r>
      <w:r w:rsidR="00CB55E8" w:rsidRPr="008E55C8">
        <w:rPr>
          <w:rFonts w:ascii="Arial" w:eastAsia="Cambria" w:hAnsi="Arial" w:cs="Arial"/>
          <w:noProof/>
        </w:rPr>
        <w:t>Currently</w:t>
      </w:r>
      <w:r w:rsidR="008E55C8">
        <w:rPr>
          <w:rFonts w:ascii="Arial" w:eastAsia="Cambria" w:hAnsi="Arial" w:cs="Arial"/>
          <w:noProof/>
        </w:rPr>
        <w:t>,</w:t>
      </w:r>
      <w:r w:rsidR="00CB55E8" w:rsidRPr="00C75599">
        <w:rPr>
          <w:rFonts w:ascii="Arial" w:eastAsia="Cambria" w:hAnsi="Arial" w:cs="Arial"/>
        </w:rPr>
        <w:t xml:space="preserve"> the CHE has 1</w:t>
      </w:r>
      <w:r w:rsidR="00C75599" w:rsidRPr="00C75599">
        <w:rPr>
          <w:rFonts w:ascii="Arial" w:eastAsia="Cambria" w:hAnsi="Arial" w:cs="Arial"/>
        </w:rPr>
        <w:t xml:space="preserve"> </w:t>
      </w:r>
      <w:r w:rsidR="00CB55E8" w:rsidRPr="00C75599">
        <w:rPr>
          <w:rFonts w:ascii="Arial" w:eastAsia="Cambria" w:hAnsi="Arial" w:cs="Arial"/>
        </w:rPr>
        <w:t xml:space="preserve">128 new applications for programme accreditation that are in various stages of the process. The sharp increase in submissions is due to </w:t>
      </w:r>
      <w:r w:rsidR="000378F9" w:rsidRPr="00C75599">
        <w:rPr>
          <w:rFonts w:ascii="Arial" w:eastAsia="Cambria" w:hAnsi="Arial" w:cs="Arial"/>
        </w:rPr>
        <w:t>higher education institutions</w:t>
      </w:r>
      <w:r w:rsidR="00CB55E8" w:rsidRPr="00C75599">
        <w:rPr>
          <w:rFonts w:ascii="Arial" w:eastAsia="Cambria" w:hAnsi="Arial" w:cs="Arial"/>
        </w:rPr>
        <w:t xml:space="preserve">, and in particular, the </w:t>
      </w:r>
      <w:r w:rsidR="000D438F" w:rsidRPr="00C75599">
        <w:rPr>
          <w:rFonts w:ascii="Arial" w:eastAsia="Cambria" w:hAnsi="Arial" w:cs="Arial"/>
        </w:rPr>
        <w:t>universities of technology</w:t>
      </w:r>
      <w:r w:rsidR="000378F9" w:rsidRPr="00C75599">
        <w:rPr>
          <w:rFonts w:ascii="Arial" w:eastAsia="Cambria" w:hAnsi="Arial" w:cs="Arial"/>
        </w:rPr>
        <w:t>,</w:t>
      </w:r>
      <w:r w:rsidR="00CB55E8" w:rsidRPr="00C75599">
        <w:rPr>
          <w:rFonts w:ascii="Arial" w:eastAsia="Cambria" w:hAnsi="Arial" w:cs="Arial"/>
        </w:rPr>
        <w:t xml:space="preserve"> submitting replacement programmes for those that </w:t>
      </w:r>
      <w:r w:rsidR="00CB55E8" w:rsidRPr="008E55C8">
        <w:rPr>
          <w:rFonts w:ascii="Arial" w:eastAsia="Cambria" w:hAnsi="Arial" w:cs="Arial"/>
          <w:noProof/>
        </w:rPr>
        <w:t>are not aligned</w:t>
      </w:r>
      <w:r w:rsidR="00CB55E8" w:rsidRPr="00C75599">
        <w:rPr>
          <w:rFonts w:ascii="Arial" w:eastAsia="Cambria" w:hAnsi="Arial" w:cs="Arial"/>
        </w:rPr>
        <w:t xml:space="preserve"> to the H</w:t>
      </w:r>
      <w:r w:rsidR="000378F9" w:rsidRPr="00C75599">
        <w:rPr>
          <w:rFonts w:ascii="Arial" w:eastAsia="Cambria" w:hAnsi="Arial" w:cs="Arial"/>
        </w:rPr>
        <w:t xml:space="preserve">igher </w:t>
      </w:r>
      <w:r w:rsidR="00CB55E8" w:rsidRPr="00C75599">
        <w:rPr>
          <w:rFonts w:ascii="Arial" w:eastAsia="Cambria" w:hAnsi="Arial" w:cs="Arial"/>
        </w:rPr>
        <w:t>E</w:t>
      </w:r>
      <w:r w:rsidR="000378F9" w:rsidRPr="00C75599">
        <w:rPr>
          <w:rFonts w:ascii="Arial" w:eastAsia="Cambria" w:hAnsi="Arial" w:cs="Arial"/>
        </w:rPr>
        <w:t xml:space="preserve">ducation </w:t>
      </w:r>
      <w:r w:rsidR="00CB55E8" w:rsidRPr="00C75599">
        <w:rPr>
          <w:rFonts w:ascii="Arial" w:eastAsia="Cambria" w:hAnsi="Arial" w:cs="Arial"/>
        </w:rPr>
        <w:t>Q</w:t>
      </w:r>
      <w:r w:rsidR="000378F9" w:rsidRPr="00C75599">
        <w:rPr>
          <w:rFonts w:ascii="Arial" w:eastAsia="Cambria" w:hAnsi="Arial" w:cs="Arial"/>
        </w:rPr>
        <w:t xml:space="preserve">ualifications </w:t>
      </w:r>
      <w:r w:rsidR="00CB55E8" w:rsidRPr="00C75599">
        <w:rPr>
          <w:rFonts w:ascii="Arial" w:eastAsia="Cambria" w:hAnsi="Arial" w:cs="Arial"/>
        </w:rPr>
        <w:t>S</w:t>
      </w:r>
      <w:r w:rsidR="000378F9" w:rsidRPr="00C75599">
        <w:rPr>
          <w:rFonts w:ascii="Arial" w:eastAsia="Cambria" w:hAnsi="Arial" w:cs="Arial"/>
        </w:rPr>
        <w:t>ub</w:t>
      </w:r>
      <w:r w:rsidR="00B86693" w:rsidRPr="00C75599">
        <w:rPr>
          <w:rFonts w:ascii="Arial" w:eastAsia="Cambria" w:hAnsi="Arial" w:cs="Arial"/>
        </w:rPr>
        <w:t>–</w:t>
      </w:r>
      <w:r w:rsidR="00CB55E8" w:rsidRPr="00C75599">
        <w:rPr>
          <w:rFonts w:ascii="Arial" w:eastAsia="Cambria" w:hAnsi="Arial" w:cs="Arial"/>
        </w:rPr>
        <w:t>F</w:t>
      </w:r>
      <w:r>
        <w:rPr>
          <w:rFonts w:ascii="Arial" w:eastAsia="Cambria" w:hAnsi="Arial" w:cs="Arial"/>
        </w:rPr>
        <w:t>ramework (HEQSF)</w:t>
      </w:r>
      <w:r w:rsidR="000378F9" w:rsidRPr="00C75599">
        <w:rPr>
          <w:rFonts w:ascii="Arial" w:eastAsia="Cambria" w:hAnsi="Arial" w:cs="Arial"/>
        </w:rPr>
        <w:t>. This alignment</w:t>
      </w:r>
      <w:r>
        <w:rPr>
          <w:rFonts w:ascii="Arial" w:eastAsia="Cambria" w:hAnsi="Arial" w:cs="Arial"/>
        </w:rPr>
        <w:t xml:space="preserve"> process has to be completed by </w:t>
      </w:r>
      <w:r w:rsidR="000378F9" w:rsidRPr="00C75599">
        <w:rPr>
          <w:rFonts w:ascii="Arial" w:eastAsia="Cambria" w:hAnsi="Arial" w:cs="Arial"/>
        </w:rPr>
        <w:t xml:space="preserve">December 2019. From the </w:t>
      </w:r>
      <w:r w:rsidR="00CB55E8" w:rsidRPr="00C75599">
        <w:rPr>
          <w:rFonts w:ascii="Arial" w:eastAsia="Cambria" w:hAnsi="Arial" w:cs="Arial"/>
        </w:rPr>
        <w:t>1 January 2020</w:t>
      </w:r>
      <w:r w:rsidR="00C75599" w:rsidRPr="00C75599">
        <w:rPr>
          <w:rFonts w:ascii="Arial" w:eastAsia="Cambria" w:hAnsi="Arial" w:cs="Arial"/>
        </w:rPr>
        <w:t>,</w:t>
      </w:r>
      <w:r w:rsidR="000378F9" w:rsidRPr="00C75599">
        <w:rPr>
          <w:rFonts w:ascii="Arial" w:eastAsia="Cambria" w:hAnsi="Arial" w:cs="Arial"/>
        </w:rPr>
        <w:t xml:space="preserve"> </w:t>
      </w:r>
      <w:r w:rsidR="001B07D1" w:rsidRPr="008E55C8">
        <w:rPr>
          <w:rFonts w:ascii="Arial" w:eastAsia="Cambria" w:hAnsi="Arial" w:cs="Arial"/>
          <w:noProof/>
        </w:rPr>
        <w:t>first</w:t>
      </w:r>
      <w:r w:rsidR="008E55C8">
        <w:rPr>
          <w:rFonts w:ascii="Arial" w:eastAsia="Cambria" w:hAnsi="Arial" w:cs="Arial"/>
          <w:noProof/>
        </w:rPr>
        <w:t>-</w:t>
      </w:r>
      <w:r w:rsidR="001B07D1" w:rsidRPr="008E55C8">
        <w:rPr>
          <w:rFonts w:ascii="Arial" w:eastAsia="Cambria" w:hAnsi="Arial" w:cs="Arial"/>
          <w:noProof/>
        </w:rPr>
        <w:t>year</w:t>
      </w:r>
      <w:r w:rsidR="001B07D1" w:rsidRPr="00C75599">
        <w:rPr>
          <w:rFonts w:ascii="Arial" w:eastAsia="Cambria" w:hAnsi="Arial" w:cs="Arial"/>
        </w:rPr>
        <w:t xml:space="preserve"> </w:t>
      </w:r>
      <w:r w:rsidR="000378F9" w:rsidRPr="00C75599">
        <w:rPr>
          <w:rFonts w:ascii="Arial" w:eastAsia="Cambria" w:hAnsi="Arial" w:cs="Arial"/>
        </w:rPr>
        <w:t xml:space="preserve">registrations will </w:t>
      </w:r>
      <w:r w:rsidR="005646EE" w:rsidRPr="00C75599">
        <w:rPr>
          <w:rFonts w:ascii="Arial" w:eastAsia="Cambria" w:hAnsi="Arial" w:cs="Arial"/>
        </w:rPr>
        <w:t xml:space="preserve">only be allowed in </w:t>
      </w:r>
      <w:r w:rsidR="000378F9" w:rsidRPr="00C75599">
        <w:rPr>
          <w:rFonts w:ascii="Arial" w:eastAsia="Cambria" w:hAnsi="Arial" w:cs="Arial"/>
        </w:rPr>
        <w:t>HEQSF aligned programmes</w:t>
      </w:r>
      <w:r w:rsidR="00CB55E8" w:rsidRPr="00C75599">
        <w:rPr>
          <w:rFonts w:ascii="Arial" w:eastAsia="Cambria" w:hAnsi="Arial" w:cs="Arial"/>
        </w:rPr>
        <w:t xml:space="preserve">. </w:t>
      </w:r>
    </w:p>
    <w:p w:rsidR="00CB55E8" w:rsidRPr="00C75599" w:rsidRDefault="00C75599" w:rsidP="002836A3">
      <w:pPr>
        <w:pStyle w:val="ListParagraph"/>
        <w:numPr>
          <w:ilvl w:val="0"/>
          <w:numId w:val="36"/>
        </w:numPr>
        <w:tabs>
          <w:tab w:val="left" w:pos="284"/>
        </w:tabs>
        <w:spacing w:line="360" w:lineRule="auto"/>
        <w:ind w:left="851" w:hanging="425"/>
        <w:contextualSpacing w:val="0"/>
        <w:jc w:val="both"/>
        <w:rPr>
          <w:rFonts w:ascii="Arial" w:eastAsia="Cambria" w:hAnsi="Arial" w:cs="Arial"/>
        </w:rPr>
      </w:pPr>
      <w:r w:rsidRPr="00C75599">
        <w:rPr>
          <w:rFonts w:ascii="Arial" w:eastAsia="Cambria" w:hAnsi="Arial" w:cs="Arial"/>
        </w:rPr>
        <w:t>Over the past three years, t</w:t>
      </w:r>
      <w:r w:rsidR="00CB55E8" w:rsidRPr="00C75599">
        <w:rPr>
          <w:rFonts w:ascii="Arial" w:eastAsia="Cambria" w:hAnsi="Arial" w:cs="Arial"/>
        </w:rPr>
        <w:t>he average time</w:t>
      </w:r>
      <w:r w:rsidR="005646EE" w:rsidRPr="00C75599">
        <w:rPr>
          <w:rFonts w:ascii="Arial" w:eastAsia="Cambria" w:hAnsi="Arial" w:cs="Arial"/>
        </w:rPr>
        <w:t xml:space="preserve"> </w:t>
      </w:r>
      <w:r w:rsidRPr="00C75599">
        <w:rPr>
          <w:rFonts w:ascii="Arial" w:eastAsia="Cambria" w:hAnsi="Arial" w:cs="Arial"/>
        </w:rPr>
        <w:t xml:space="preserve">from </w:t>
      </w:r>
      <w:r w:rsidR="005646EE" w:rsidRPr="00C75599">
        <w:rPr>
          <w:rFonts w:ascii="Arial" w:eastAsia="Cambria" w:hAnsi="Arial" w:cs="Arial"/>
        </w:rPr>
        <w:t>receipt of an application to the final decision on accreditation</w:t>
      </w:r>
      <w:r w:rsidRPr="00C75599">
        <w:rPr>
          <w:rFonts w:ascii="Arial" w:eastAsia="Cambria" w:hAnsi="Arial" w:cs="Arial"/>
        </w:rPr>
        <w:t xml:space="preserve"> </w:t>
      </w:r>
      <w:r w:rsidR="005646EE" w:rsidRPr="00C75599">
        <w:rPr>
          <w:rFonts w:ascii="Arial" w:eastAsia="Cambria" w:hAnsi="Arial" w:cs="Arial"/>
        </w:rPr>
        <w:t>was</w:t>
      </w:r>
      <w:r w:rsidRPr="00C75599">
        <w:rPr>
          <w:rFonts w:ascii="Arial" w:eastAsia="Cambria" w:hAnsi="Arial" w:cs="Arial"/>
        </w:rPr>
        <w:t xml:space="preserve"> 8.</w:t>
      </w:r>
      <w:r w:rsidR="00CB55E8" w:rsidRPr="00C75599">
        <w:rPr>
          <w:rFonts w:ascii="Arial" w:eastAsia="Cambria" w:hAnsi="Arial" w:cs="Arial"/>
        </w:rPr>
        <w:t xml:space="preserve">5 months. </w:t>
      </w:r>
    </w:p>
    <w:p w:rsidR="000D438F" w:rsidRPr="00C75599" w:rsidRDefault="000D438F" w:rsidP="00666CC1">
      <w:pPr>
        <w:pStyle w:val="ListParagraph"/>
        <w:numPr>
          <w:ilvl w:val="0"/>
          <w:numId w:val="38"/>
        </w:numPr>
        <w:tabs>
          <w:tab w:val="left" w:pos="426"/>
        </w:tabs>
        <w:spacing w:line="360" w:lineRule="auto"/>
        <w:ind w:left="851" w:hanging="851"/>
        <w:contextualSpacing w:val="0"/>
        <w:jc w:val="both"/>
        <w:rPr>
          <w:rFonts w:ascii="Arial" w:eastAsia="Cambria" w:hAnsi="Arial" w:cs="Arial"/>
        </w:rPr>
      </w:pPr>
      <w:r w:rsidRPr="00C75599">
        <w:rPr>
          <w:rFonts w:ascii="Arial" w:eastAsia="Cambria" w:hAnsi="Arial" w:cs="Arial"/>
        </w:rPr>
        <w:t>(a)</w:t>
      </w:r>
      <w:r w:rsidRPr="00C75599">
        <w:rPr>
          <w:rFonts w:ascii="Arial" w:eastAsia="Cambria" w:hAnsi="Arial" w:cs="Arial"/>
        </w:rPr>
        <w:tab/>
      </w:r>
      <w:r w:rsidR="008E55C8">
        <w:rPr>
          <w:rFonts w:ascii="Arial" w:eastAsia="Cambria" w:hAnsi="Arial" w:cs="Arial"/>
          <w:noProof/>
        </w:rPr>
        <w:t>P</w:t>
      </w:r>
      <w:r w:rsidR="00360166" w:rsidRPr="00C75599">
        <w:rPr>
          <w:rFonts w:ascii="Arial" w:eastAsia="Cambria" w:hAnsi="Arial" w:cs="Arial"/>
        </w:rPr>
        <w:t>ublic u</w:t>
      </w:r>
      <w:r w:rsidR="00CB55E8" w:rsidRPr="00C75599">
        <w:rPr>
          <w:rFonts w:ascii="Arial" w:eastAsia="Cambria" w:hAnsi="Arial" w:cs="Arial"/>
        </w:rPr>
        <w:t>niversities do not pay</w:t>
      </w:r>
      <w:r w:rsidR="005646EE" w:rsidRPr="00C75599">
        <w:rPr>
          <w:rFonts w:ascii="Arial" w:eastAsia="Cambria" w:hAnsi="Arial" w:cs="Arial"/>
        </w:rPr>
        <w:t xml:space="preserve"> any</w:t>
      </w:r>
      <w:r w:rsidR="00CB55E8" w:rsidRPr="00C75599">
        <w:rPr>
          <w:rFonts w:ascii="Arial" w:eastAsia="Cambria" w:hAnsi="Arial" w:cs="Arial"/>
        </w:rPr>
        <w:t xml:space="preserve"> </w:t>
      </w:r>
      <w:r w:rsidR="005646EE" w:rsidRPr="00C75599">
        <w:rPr>
          <w:rFonts w:ascii="Arial" w:eastAsia="Cambria" w:hAnsi="Arial" w:cs="Arial"/>
        </w:rPr>
        <w:t>fee</w:t>
      </w:r>
      <w:r w:rsidR="00666CC1">
        <w:rPr>
          <w:rFonts w:ascii="Arial" w:eastAsia="Cambria" w:hAnsi="Arial" w:cs="Arial"/>
        </w:rPr>
        <w:t>s</w:t>
      </w:r>
      <w:r w:rsidR="005646EE" w:rsidRPr="00C75599">
        <w:rPr>
          <w:rFonts w:ascii="Arial" w:eastAsia="Cambria" w:hAnsi="Arial" w:cs="Arial"/>
        </w:rPr>
        <w:t xml:space="preserve"> for </w:t>
      </w:r>
      <w:r w:rsidR="002836A3" w:rsidRPr="00C75599">
        <w:rPr>
          <w:rFonts w:ascii="Arial" w:eastAsia="Cambria" w:hAnsi="Arial" w:cs="Arial"/>
        </w:rPr>
        <w:t xml:space="preserve">accreditation </w:t>
      </w:r>
      <w:r w:rsidR="005646EE" w:rsidRPr="00C75599">
        <w:rPr>
          <w:rFonts w:ascii="Arial" w:eastAsia="Cambria" w:hAnsi="Arial" w:cs="Arial"/>
        </w:rPr>
        <w:t>applications</w:t>
      </w:r>
      <w:r w:rsidR="00CB55E8" w:rsidRPr="00C75599">
        <w:rPr>
          <w:rFonts w:ascii="Arial" w:eastAsia="Cambria" w:hAnsi="Arial" w:cs="Arial"/>
        </w:rPr>
        <w:t xml:space="preserve">. Private Higher Education Institutions </w:t>
      </w:r>
      <w:r w:rsidR="003068EB" w:rsidRPr="00C75599">
        <w:rPr>
          <w:rFonts w:ascii="Arial" w:eastAsia="Cambria" w:hAnsi="Arial" w:cs="Arial"/>
        </w:rPr>
        <w:t xml:space="preserve">(PHEIs) </w:t>
      </w:r>
      <w:r w:rsidR="002836A3">
        <w:rPr>
          <w:rFonts w:ascii="Arial" w:eastAsia="Cambria" w:hAnsi="Arial" w:cs="Arial"/>
        </w:rPr>
        <w:t xml:space="preserve">are required to </w:t>
      </w:r>
      <w:r w:rsidR="00CB55E8" w:rsidRPr="00C75599">
        <w:rPr>
          <w:rFonts w:ascii="Arial" w:eastAsia="Cambria" w:hAnsi="Arial" w:cs="Arial"/>
        </w:rPr>
        <w:t xml:space="preserve">make </w:t>
      </w:r>
      <w:r w:rsidR="008E55C8">
        <w:rPr>
          <w:rFonts w:ascii="Arial" w:eastAsia="Cambria" w:hAnsi="Arial" w:cs="Arial"/>
        </w:rPr>
        <w:t xml:space="preserve">a </w:t>
      </w:r>
      <w:r w:rsidR="00CB55E8" w:rsidRPr="00C75599">
        <w:rPr>
          <w:rFonts w:ascii="Arial" w:eastAsia="Cambria" w:hAnsi="Arial" w:cs="Arial"/>
        </w:rPr>
        <w:t>payment b</w:t>
      </w:r>
      <w:r w:rsidR="00C75599" w:rsidRPr="00C75599">
        <w:rPr>
          <w:rFonts w:ascii="Arial" w:eastAsia="Cambria" w:hAnsi="Arial" w:cs="Arial"/>
        </w:rPr>
        <w:t xml:space="preserve">efore a programme application can </w:t>
      </w:r>
      <w:r w:rsidR="00C75599" w:rsidRPr="008E55C8">
        <w:rPr>
          <w:rFonts w:ascii="Arial" w:eastAsia="Cambria" w:hAnsi="Arial" w:cs="Arial"/>
          <w:noProof/>
        </w:rPr>
        <w:t>be</w:t>
      </w:r>
      <w:r w:rsidR="00CB55E8" w:rsidRPr="008E55C8">
        <w:rPr>
          <w:rFonts w:ascii="Arial" w:eastAsia="Cambria" w:hAnsi="Arial" w:cs="Arial"/>
          <w:noProof/>
        </w:rPr>
        <w:t xml:space="preserve"> proc</w:t>
      </w:r>
      <w:r w:rsidR="00C75599" w:rsidRPr="008E55C8">
        <w:rPr>
          <w:rFonts w:ascii="Arial" w:eastAsia="Cambria" w:hAnsi="Arial" w:cs="Arial"/>
          <w:noProof/>
        </w:rPr>
        <w:t>essed</w:t>
      </w:r>
      <w:r w:rsidR="00C75599" w:rsidRPr="00C75599">
        <w:rPr>
          <w:rFonts w:ascii="Arial" w:eastAsia="Cambria" w:hAnsi="Arial" w:cs="Arial"/>
        </w:rPr>
        <w:t xml:space="preserve">. The calculation of </w:t>
      </w:r>
      <w:r w:rsidR="00CB55E8" w:rsidRPr="00C75599">
        <w:rPr>
          <w:rFonts w:ascii="Arial" w:eastAsia="Cambria" w:hAnsi="Arial" w:cs="Arial"/>
        </w:rPr>
        <w:t xml:space="preserve">fees </w:t>
      </w:r>
      <w:r w:rsidR="008E55C8" w:rsidRPr="008E55C8">
        <w:rPr>
          <w:rFonts w:ascii="Arial" w:eastAsia="Cambria" w:hAnsi="Arial" w:cs="Arial"/>
          <w:noProof/>
        </w:rPr>
        <w:t>is</w:t>
      </w:r>
      <w:r w:rsidR="00CB55E8" w:rsidRPr="008E55C8">
        <w:rPr>
          <w:rFonts w:ascii="Arial" w:eastAsia="Cambria" w:hAnsi="Arial" w:cs="Arial"/>
          <w:noProof/>
        </w:rPr>
        <w:t xml:space="preserve"> based</w:t>
      </w:r>
      <w:r w:rsidR="00CB55E8" w:rsidRPr="00C75599">
        <w:rPr>
          <w:rFonts w:ascii="Arial" w:eastAsia="Cambria" w:hAnsi="Arial" w:cs="Arial"/>
        </w:rPr>
        <w:t xml:space="preserve"> on </w:t>
      </w:r>
      <w:r w:rsidR="005646EE" w:rsidRPr="00C75599">
        <w:rPr>
          <w:rFonts w:ascii="Arial" w:eastAsia="Cambria" w:hAnsi="Arial" w:cs="Arial"/>
        </w:rPr>
        <w:t xml:space="preserve">a </w:t>
      </w:r>
      <w:r w:rsidR="00CB55E8" w:rsidRPr="00C75599">
        <w:rPr>
          <w:rFonts w:ascii="Arial" w:eastAsia="Cambria" w:hAnsi="Arial" w:cs="Arial"/>
        </w:rPr>
        <w:t>cost recovery basis.</w:t>
      </w:r>
    </w:p>
    <w:p w:rsidR="004C3073" w:rsidRDefault="000D438F" w:rsidP="004C3073">
      <w:pPr>
        <w:spacing w:line="360" w:lineRule="auto"/>
        <w:ind w:left="851" w:hanging="709"/>
        <w:jc w:val="both"/>
        <w:rPr>
          <w:rFonts w:ascii="Arial" w:eastAsia="Cambria" w:hAnsi="Arial" w:cs="Arial"/>
        </w:rPr>
      </w:pPr>
      <w:r w:rsidRPr="00C75599">
        <w:rPr>
          <w:rFonts w:ascii="Arial" w:eastAsia="Cambria" w:hAnsi="Arial" w:cs="Arial"/>
        </w:rPr>
        <w:t>(b)</w:t>
      </w:r>
      <w:r w:rsidR="00666CC1">
        <w:rPr>
          <w:rFonts w:ascii="Arial" w:eastAsia="Cambria" w:hAnsi="Arial" w:cs="Arial"/>
        </w:rPr>
        <w:t xml:space="preserve"> </w:t>
      </w:r>
      <w:r w:rsidRPr="00C75599">
        <w:rPr>
          <w:rFonts w:ascii="Arial" w:eastAsia="Cambria" w:hAnsi="Arial" w:cs="Arial"/>
        </w:rPr>
        <w:t>(i)</w:t>
      </w:r>
      <w:r w:rsidRPr="00C75599">
        <w:rPr>
          <w:rFonts w:ascii="Arial" w:eastAsia="Cambria" w:hAnsi="Arial" w:cs="Arial"/>
        </w:rPr>
        <w:tab/>
      </w:r>
      <w:r w:rsidR="005646EE" w:rsidRPr="00C75599">
        <w:rPr>
          <w:rFonts w:ascii="Arial" w:eastAsia="Cambria" w:hAnsi="Arial" w:cs="Arial"/>
        </w:rPr>
        <w:t>The total income received from accreditation for private institutions in the 2017/18 financial year was R5</w:t>
      </w:r>
      <w:r w:rsidR="003068EB" w:rsidRPr="00C75599">
        <w:rPr>
          <w:rFonts w:ascii="Arial" w:eastAsia="Cambria" w:hAnsi="Arial" w:cs="Arial"/>
        </w:rPr>
        <w:t> </w:t>
      </w:r>
      <w:r w:rsidR="005646EE" w:rsidRPr="00C75599">
        <w:rPr>
          <w:rFonts w:ascii="Arial" w:eastAsia="Cambria" w:hAnsi="Arial" w:cs="Arial"/>
        </w:rPr>
        <w:t>476</w:t>
      </w:r>
      <w:r w:rsidR="003068EB" w:rsidRPr="00C75599">
        <w:rPr>
          <w:rFonts w:ascii="Arial" w:eastAsia="Cambria" w:hAnsi="Arial" w:cs="Arial"/>
        </w:rPr>
        <w:t xml:space="preserve"> </w:t>
      </w:r>
      <w:r w:rsidR="005646EE" w:rsidRPr="00C75599">
        <w:rPr>
          <w:rFonts w:ascii="Arial" w:eastAsia="Cambria" w:hAnsi="Arial" w:cs="Arial"/>
        </w:rPr>
        <w:t xml:space="preserve">892. </w:t>
      </w:r>
      <w:r w:rsidR="005646EE" w:rsidRPr="008E55C8">
        <w:rPr>
          <w:rFonts w:ascii="Arial" w:eastAsia="Cambria" w:hAnsi="Arial" w:cs="Arial"/>
          <w:noProof/>
        </w:rPr>
        <w:t>This</w:t>
      </w:r>
      <w:r w:rsidR="005646EE" w:rsidRPr="00C75599">
        <w:rPr>
          <w:rFonts w:ascii="Arial" w:eastAsia="Cambria" w:hAnsi="Arial" w:cs="Arial"/>
        </w:rPr>
        <w:t xml:space="preserve"> includes fees for a range of d</w:t>
      </w:r>
      <w:r w:rsidR="0085134A" w:rsidRPr="00C75599">
        <w:rPr>
          <w:rFonts w:ascii="Arial" w:eastAsia="Cambria" w:hAnsi="Arial" w:cs="Arial"/>
        </w:rPr>
        <w:t>ifferent applications</w:t>
      </w:r>
      <w:r w:rsidR="00666CC1">
        <w:rPr>
          <w:rFonts w:ascii="Arial" w:eastAsia="Cambria" w:hAnsi="Arial" w:cs="Arial"/>
        </w:rPr>
        <w:t>,</w:t>
      </w:r>
      <w:r w:rsidR="0085134A" w:rsidRPr="00C75599">
        <w:rPr>
          <w:rFonts w:ascii="Arial" w:eastAsia="Cambria" w:hAnsi="Arial" w:cs="Arial"/>
        </w:rPr>
        <w:t xml:space="preserve"> including</w:t>
      </w:r>
      <w:r w:rsidR="005646EE" w:rsidRPr="00C75599">
        <w:rPr>
          <w:rFonts w:ascii="Arial" w:eastAsia="Cambria" w:hAnsi="Arial" w:cs="Arial"/>
        </w:rPr>
        <w:t xml:space="preserve"> programme accreditation and site </w:t>
      </w:r>
      <w:r w:rsidR="0085134A" w:rsidRPr="00C75599">
        <w:rPr>
          <w:rFonts w:ascii="Arial" w:eastAsia="Cambria" w:hAnsi="Arial" w:cs="Arial"/>
        </w:rPr>
        <w:t>approval.</w:t>
      </w:r>
      <w:r w:rsidR="005646EE" w:rsidRPr="00C75599">
        <w:rPr>
          <w:rFonts w:ascii="Arial" w:eastAsia="Cambria" w:hAnsi="Arial" w:cs="Arial"/>
        </w:rPr>
        <w:t xml:space="preserve"> </w:t>
      </w:r>
      <w:r w:rsidR="0085134A" w:rsidRPr="00C75599">
        <w:rPr>
          <w:rStyle w:val="special"/>
          <w:rFonts w:ascii="Arial" w:hAnsi="Arial" w:cs="Arial"/>
        </w:rPr>
        <w:t xml:space="preserve">The </w:t>
      </w:r>
      <w:r w:rsidR="00666CC1">
        <w:rPr>
          <w:rStyle w:val="special"/>
          <w:rFonts w:ascii="Arial" w:hAnsi="Arial" w:cs="Arial"/>
        </w:rPr>
        <w:t xml:space="preserve">different application </w:t>
      </w:r>
      <w:r w:rsidR="0085134A" w:rsidRPr="00C75599">
        <w:rPr>
          <w:rStyle w:val="special"/>
          <w:rFonts w:ascii="Arial" w:hAnsi="Arial" w:cs="Arial"/>
        </w:rPr>
        <w:t xml:space="preserve">fees </w:t>
      </w:r>
      <w:r w:rsidR="0085134A" w:rsidRPr="008E55C8">
        <w:rPr>
          <w:rStyle w:val="special"/>
          <w:rFonts w:ascii="Arial" w:hAnsi="Arial" w:cs="Arial"/>
          <w:noProof/>
        </w:rPr>
        <w:t>are published</w:t>
      </w:r>
      <w:r w:rsidR="0085134A" w:rsidRPr="00C75599">
        <w:rPr>
          <w:rStyle w:val="special"/>
          <w:rFonts w:ascii="Arial" w:hAnsi="Arial" w:cs="Arial"/>
        </w:rPr>
        <w:t xml:space="preserve"> on the CHE</w:t>
      </w:r>
      <w:r w:rsidR="008E55C8">
        <w:rPr>
          <w:rStyle w:val="special"/>
          <w:rFonts w:ascii="Arial" w:hAnsi="Arial" w:cs="Arial"/>
        </w:rPr>
        <w:t>’s</w:t>
      </w:r>
      <w:r w:rsidR="0085134A" w:rsidRPr="00C75599">
        <w:rPr>
          <w:rStyle w:val="special"/>
          <w:rFonts w:ascii="Arial" w:hAnsi="Arial" w:cs="Arial"/>
        </w:rPr>
        <w:t xml:space="preserve"> </w:t>
      </w:r>
      <w:r w:rsidR="00C75599" w:rsidRPr="00C75599">
        <w:rPr>
          <w:rFonts w:ascii="Arial" w:eastAsia="Cambria" w:hAnsi="Arial" w:cs="Arial"/>
        </w:rPr>
        <w:t>website: http://</w:t>
      </w:r>
      <w:r w:rsidR="0085134A" w:rsidRPr="00C75599">
        <w:rPr>
          <w:rFonts w:ascii="Arial" w:eastAsia="Cambria" w:hAnsi="Arial" w:cs="Arial"/>
        </w:rPr>
        <w:t xml:space="preserve">www.che.ac.za. </w:t>
      </w:r>
    </w:p>
    <w:p w:rsidR="00CB55E8" w:rsidRPr="00C75599" w:rsidRDefault="005646EE" w:rsidP="004C3073">
      <w:pPr>
        <w:spacing w:line="360" w:lineRule="auto"/>
        <w:ind w:left="851" w:hanging="425"/>
        <w:jc w:val="both"/>
        <w:rPr>
          <w:rFonts w:ascii="Arial" w:eastAsia="Cambria" w:hAnsi="Arial" w:cs="Arial"/>
        </w:rPr>
      </w:pPr>
      <w:r w:rsidRPr="00C75599">
        <w:rPr>
          <w:rFonts w:ascii="Arial" w:eastAsia="Cambria" w:hAnsi="Arial" w:cs="Arial"/>
        </w:rPr>
        <w:t>(ii)</w:t>
      </w:r>
      <w:r w:rsidR="00F62C54" w:rsidRPr="00C75599">
        <w:rPr>
          <w:rFonts w:ascii="Arial" w:eastAsia="Cambria" w:hAnsi="Arial" w:cs="Arial"/>
        </w:rPr>
        <w:tab/>
      </w:r>
      <w:r w:rsidR="00CB55E8" w:rsidRPr="00C75599">
        <w:rPr>
          <w:rFonts w:ascii="Arial" w:eastAsia="Cambria" w:hAnsi="Arial" w:cs="Arial"/>
        </w:rPr>
        <w:t xml:space="preserve">The application fee </w:t>
      </w:r>
      <w:r w:rsidR="003068EB" w:rsidRPr="00C75599">
        <w:rPr>
          <w:rFonts w:ascii="Arial" w:eastAsia="Cambria" w:hAnsi="Arial" w:cs="Arial"/>
        </w:rPr>
        <w:t xml:space="preserve">to PHEIs </w:t>
      </w:r>
      <w:r w:rsidR="00C75599" w:rsidRPr="00C75599">
        <w:rPr>
          <w:rFonts w:ascii="Arial" w:eastAsia="Cambria" w:hAnsi="Arial" w:cs="Arial"/>
        </w:rPr>
        <w:t>for the a</w:t>
      </w:r>
      <w:r w:rsidR="00CB55E8" w:rsidRPr="00C75599">
        <w:rPr>
          <w:rFonts w:ascii="Arial" w:eastAsia="Cambria" w:hAnsi="Arial" w:cs="Arial"/>
        </w:rPr>
        <w:t>ccreditation per programme is currently R12</w:t>
      </w:r>
      <w:r w:rsidR="0085134A" w:rsidRPr="00C75599">
        <w:rPr>
          <w:rFonts w:ascii="Arial" w:eastAsia="Cambria" w:hAnsi="Arial" w:cs="Arial"/>
        </w:rPr>
        <w:t xml:space="preserve"> </w:t>
      </w:r>
      <w:r w:rsidR="00CB55E8" w:rsidRPr="00C75599">
        <w:rPr>
          <w:rFonts w:ascii="Arial" w:eastAsia="Cambria" w:hAnsi="Arial" w:cs="Arial"/>
        </w:rPr>
        <w:t>500.</w:t>
      </w:r>
    </w:p>
    <w:p w:rsidR="008E55C8" w:rsidRDefault="008E55C8" w:rsidP="00CB55E8">
      <w:pPr>
        <w:spacing w:before="100" w:beforeAutospacing="1" w:after="100" w:afterAutospacing="1" w:line="360" w:lineRule="auto"/>
        <w:jc w:val="both"/>
        <w:rPr>
          <w:rFonts w:ascii="Arial" w:hAnsi="Arial" w:cs="Arial"/>
          <w:b/>
        </w:rPr>
      </w:pPr>
      <w:bookmarkStart w:id="0" w:name="_GoBack"/>
      <w:bookmarkEnd w:id="0"/>
    </w:p>
    <w:sectPr w:rsidR="008E55C8" w:rsidSect="000F780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D27" w:rsidRDefault="006F6D27" w:rsidP="001333F3">
      <w:pPr>
        <w:spacing w:after="0" w:line="240" w:lineRule="auto"/>
      </w:pPr>
      <w:r>
        <w:separator/>
      </w:r>
    </w:p>
  </w:endnote>
  <w:endnote w:type="continuationSeparator" w:id="0">
    <w:p w:rsidR="006F6D27" w:rsidRDefault="006F6D27" w:rsidP="0013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D27" w:rsidRDefault="006F6D27" w:rsidP="001333F3">
      <w:pPr>
        <w:spacing w:after="0" w:line="240" w:lineRule="auto"/>
      </w:pPr>
      <w:r>
        <w:separator/>
      </w:r>
    </w:p>
  </w:footnote>
  <w:footnote w:type="continuationSeparator" w:id="0">
    <w:p w:rsidR="006F6D27" w:rsidRDefault="006F6D27" w:rsidP="00133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0510B6"/>
    <w:multiLevelType w:val="hybridMultilevel"/>
    <w:tmpl w:val="F9CA7664"/>
    <w:lvl w:ilvl="0" w:tplc="4AD2E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E7306D"/>
    <w:multiLevelType w:val="multilevel"/>
    <w:tmpl w:val="3EDE15B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2F0AA6"/>
    <w:multiLevelType w:val="hybridMultilevel"/>
    <w:tmpl w:val="54A6E130"/>
    <w:lvl w:ilvl="0" w:tplc="D11811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517746"/>
    <w:multiLevelType w:val="hybridMultilevel"/>
    <w:tmpl w:val="A886B390"/>
    <w:lvl w:ilvl="0" w:tplc="3F96A8D6">
      <w:start w:val="4"/>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2">
    <w:nsid w:val="277B4980"/>
    <w:multiLevelType w:val="hybridMultilevel"/>
    <w:tmpl w:val="FE6E528A"/>
    <w:lvl w:ilvl="0" w:tplc="2328F9C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1">
    <w:nsid w:val="5F492FA0"/>
    <w:multiLevelType w:val="hybridMultilevel"/>
    <w:tmpl w:val="77C2CBE2"/>
    <w:lvl w:ilvl="0" w:tplc="8BA47A3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63DC36A3"/>
    <w:multiLevelType w:val="hybridMultilevel"/>
    <w:tmpl w:val="3CD2A8B4"/>
    <w:lvl w:ilvl="0" w:tplc="9EB4E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9">
    <w:nsid w:val="73B40C4E"/>
    <w:multiLevelType w:val="hybridMultilevel"/>
    <w:tmpl w:val="D982CE06"/>
    <w:lvl w:ilvl="0" w:tplc="226A9698">
      <w:start w:val="2"/>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54353B6"/>
    <w:multiLevelType w:val="hybridMultilevel"/>
    <w:tmpl w:val="6D6673C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6">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DF873DD"/>
    <w:multiLevelType w:val="hybridMultilevel"/>
    <w:tmpl w:val="5B123256"/>
    <w:lvl w:ilvl="0" w:tplc="1C090011">
      <w:start w:val="1"/>
      <w:numFmt w:val="decimal"/>
      <w:lvlText w:val="%1)"/>
      <w:lvlJc w:val="left"/>
      <w:pPr>
        <w:ind w:left="371" w:hanging="360"/>
      </w:p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37"/>
  </w:num>
  <w:num w:numId="3">
    <w:abstractNumId w:val="24"/>
  </w:num>
  <w:num w:numId="4">
    <w:abstractNumId w:val="3"/>
  </w:num>
  <w:num w:numId="5">
    <w:abstractNumId w:val="33"/>
  </w:num>
  <w:num w:numId="6">
    <w:abstractNumId w:val="20"/>
  </w:num>
  <w:num w:numId="7">
    <w:abstractNumId w:val="28"/>
  </w:num>
  <w:num w:numId="8">
    <w:abstractNumId w:val="19"/>
  </w:num>
  <w:num w:numId="9">
    <w:abstractNumId w:val="32"/>
  </w:num>
  <w:num w:numId="10">
    <w:abstractNumId w:val="11"/>
  </w:num>
  <w:num w:numId="11">
    <w:abstractNumId w:val="14"/>
  </w:num>
  <w:num w:numId="12">
    <w:abstractNumId w:val="1"/>
  </w:num>
  <w:num w:numId="13">
    <w:abstractNumId w:val="17"/>
  </w:num>
  <w:num w:numId="14">
    <w:abstractNumId w:val="27"/>
  </w:num>
  <w:num w:numId="15">
    <w:abstractNumId w:val="8"/>
  </w:num>
  <w:num w:numId="16">
    <w:abstractNumId w:val="35"/>
  </w:num>
  <w:num w:numId="17">
    <w:abstractNumId w:val="26"/>
  </w:num>
  <w:num w:numId="18">
    <w:abstractNumId w:val="36"/>
  </w:num>
  <w:num w:numId="19">
    <w:abstractNumId w:val="9"/>
  </w:num>
  <w:num w:numId="20">
    <w:abstractNumId w:val="15"/>
  </w:num>
  <w:num w:numId="21">
    <w:abstractNumId w:val="10"/>
  </w:num>
  <w:num w:numId="22">
    <w:abstractNumId w:val="13"/>
  </w:num>
  <w:num w:numId="23">
    <w:abstractNumId w:val="18"/>
  </w:num>
  <w:num w:numId="24">
    <w:abstractNumId w:val="22"/>
  </w:num>
  <w:num w:numId="25">
    <w:abstractNumId w:val="34"/>
  </w:num>
  <w:num w:numId="26">
    <w:abstractNumId w:val="16"/>
  </w:num>
  <w:num w:numId="27">
    <w:abstractNumId w:val="5"/>
  </w:num>
  <w:num w:numId="28">
    <w:abstractNumId w:val="25"/>
  </w:num>
  <w:num w:numId="29">
    <w:abstractNumId w:val="3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2"/>
  </w:num>
  <w:num w:numId="35">
    <w:abstractNumId w:val="12"/>
  </w:num>
  <w:num w:numId="36">
    <w:abstractNumId w:val="29"/>
  </w:num>
  <w:num w:numId="37">
    <w:abstractNumId w:val="21"/>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WwsDSyMDc2MTcyMDBQ0lEKTi0uzszPAykwqgUAZR7kHSwAAAA="/>
  </w:docVars>
  <w:rsids>
    <w:rsidRoot w:val="003D7858"/>
    <w:rsid w:val="000035B7"/>
    <w:rsid w:val="00004C60"/>
    <w:rsid w:val="0000638E"/>
    <w:rsid w:val="0001216C"/>
    <w:rsid w:val="00014D27"/>
    <w:rsid w:val="00024C88"/>
    <w:rsid w:val="000260DC"/>
    <w:rsid w:val="000262F1"/>
    <w:rsid w:val="00030E84"/>
    <w:rsid w:val="00035B7F"/>
    <w:rsid w:val="00036A4D"/>
    <w:rsid w:val="000378F9"/>
    <w:rsid w:val="0004093A"/>
    <w:rsid w:val="00042D11"/>
    <w:rsid w:val="0004639E"/>
    <w:rsid w:val="00052293"/>
    <w:rsid w:val="000579B9"/>
    <w:rsid w:val="00057A15"/>
    <w:rsid w:val="00063A3A"/>
    <w:rsid w:val="00066BC3"/>
    <w:rsid w:val="0007202D"/>
    <w:rsid w:val="00075314"/>
    <w:rsid w:val="00083064"/>
    <w:rsid w:val="0008418B"/>
    <w:rsid w:val="0008426D"/>
    <w:rsid w:val="00086EC6"/>
    <w:rsid w:val="00087811"/>
    <w:rsid w:val="000A02C9"/>
    <w:rsid w:val="000A0D33"/>
    <w:rsid w:val="000A45E9"/>
    <w:rsid w:val="000B221D"/>
    <w:rsid w:val="000B5192"/>
    <w:rsid w:val="000B7FB5"/>
    <w:rsid w:val="000C2A22"/>
    <w:rsid w:val="000D438F"/>
    <w:rsid w:val="000D7B81"/>
    <w:rsid w:val="000E2985"/>
    <w:rsid w:val="000E3AD2"/>
    <w:rsid w:val="000E44C0"/>
    <w:rsid w:val="000E44D4"/>
    <w:rsid w:val="000F1507"/>
    <w:rsid w:val="000F4759"/>
    <w:rsid w:val="000F62AA"/>
    <w:rsid w:val="000F7804"/>
    <w:rsid w:val="00101559"/>
    <w:rsid w:val="00102241"/>
    <w:rsid w:val="0010402E"/>
    <w:rsid w:val="0010795D"/>
    <w:rsid w:val="00117224"/>
    <w:rsid w:val="00117E3E"/>
    <w:rsid w:val="001239D7"/>
    <w:rsid w:val="00125282"/>
    <w:rsid w:val="00127F6D"/>
    <w:rsid w:val="001333F3"/>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B07D1"/>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373BE"/>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836A3"/>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E707C"/>
    <w:rsid w:val="002F4DC9"/>
    <w:rsid w:val="002F61C7"/>
    <w:rsid w:val="002F6B49"/>
    <w:rsid w:val="00300A04"/>
    <w:rsid w:val="00300C93"/>
    <w:rsid w:val="00305BF7"/>
    <w:rsid w:val="003068EB"/>
    <w:rsid w:val="003103EA"/>
    <w:rsid w:val="00310EA1"/>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0166"/>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4904"/>
    <w:rsid w:val="00457688"/>
    <w:rsid w:val="00463025"/>
    <w:rsid w:val="004672ED"/>
    <w:rsid w:val="004800DC"/>
    <w:rsid w:val="00491C5B"/>
    <w:rsid w:val="00492A36"/>
    <w:rsid w:val="00493F06"/>
    <w:rsid w:val="004965B4"/>
    <w:rsid w:val="00496C55"/>
    <w:rsid w:val="004A043E"/>
    <w:rsid w:val="004A5705"/>
    <w:rsid w:val="004B7E13"/>
    <w:rsid w:val="004C3073"/>
    <w:rsid w:val="004C4F38"/>
    <w:rsid w:val="004C54F6"/>
    <w:rsid w:val="004C7B18"/>
    <w:rsid w:val="004D1934"/>
    <w:rsid w:val="004D1ED6"/>
    <w:rsid w:val="004D2BE1"/>
    <w:rsid w:val="004D74FD"/>
    <w:rsid w:val="004E0458"/>
    <w:rsid w:val="004F13A6"/>
    <w:rsid w:val="004F6101"/>
    <w:rsid w:val="00504B93"/>
    <w:rsid w:val="00506E45"/>
    <w:rsid w:val="005127E5"/>
    <w:rsid w:val="005223B8"/>
    <w:rsid w:val="005237E8"/>
    <w:rsid w:val="005249BD"/>
    <w:rsid w:val="00532713"/>
    <w:rsid w:val="0054219D"/>
    <w:rsid w:val="00542BB5"/>
    <w:rsid w:val="0054768E"/>
    <w:rsid w:val="00550767"/>
    <w:rsid w:val="00552E00"/>
    <w:rsid w:val="0055345F"/>
    <w:rsid w:val="00555C31"/>
    <w:rsid w:val="005577D9"/>
    <w:rsid w:val="0056106E"/>
    <w:rsid w:val="005646EE"/>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0D7"/>
    <w:rsid w:val="005F4881"/>
    <w:rsid w:val="005F4A35"/>
    <w:rsid w:val="005F63EC"/>
    <w:rsid w:val="006014F3"/>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623AF"/>
    <w:rsid w:val="006639B1"/>
    <w:rsid w:val="00666CC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6F6D27"/>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11D3"/>
    <w:rsid w:val="00797E6D"/>
    <w:rsid w:val="007B1D95"/>
    <w:rsid w:val="007B4860"/>
    <w:rsid w:val="007C1FA3"/>
    <w:rsid w:val="007C27B6"/>
    <w:rsid w:val="007C7109"/>
    <w:rsid w:val="007D5278"/>
    <w:rsid w:val="007D695D"/>
    <w:rsid w:val="007D7318"/>
    <w:rsid w:val="007E2295"/>
    <w:rsid w:val="007E26C5"/>
    <w:rsid w:val="007E3879"/>
    <w:rsid w:val="007E5850"/>
    <w:rsid w:val="007E667A"/>
    <w:rsid w:val="007F0637"/>
    <w:rsid w:val="007F068D"/>
    <w:rsid w:val="007F2479"/>
    <w:rsid w:val="007F2ADC"/>
    <w:rsid w:val="007F2D3C"/>
    <w:rsid w:val="007F2D57"/>
    <w:rsid w:val="007F7092"/>
    <w:rsid w:val="007F778F"/>
    <w:rsid w:val="0080256A"/>
    <w:rsid w:val="00807715"/>
    <w:rsid w:val="00810FD4"/>
    <w:rsid w:val="00814FBE"/>
    <w:rsid w:val="00816E66"/>
    <w:rsid w:val="00820457"/>
    <w:rsid w:val="00820D03"/>
    <w:rsid w:val="00824D7E"/>
    <w:rsid w:val="00837482"/>
    <w:rsid w:val="008405D6"/>
    <w:rsid w:val="0084308D"/>
    <w:rsid w:val="008455F2"/>
    <w:rsid w:val="0085134A"/>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5C8"/>
    <w:rsid w:val="008E5F73"/>
    <w:rsid w:val="008F059F"/>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36DAF"/>
    <w:rsid w:val="00941C47"/>
    <w:rsid w:val="00944E86"/>
    <w:rsid w:val="00945E56"/>
    <w:rsid w:val="0095081D"/>
    <w:rsid w:val="00954F8E"/>
    <w:rsid w:val="00962612"/>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E7256"/>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717"/>
    <w:rsid w:val="00A35E21"/>
    <w:rsid w:val="00A37101"/>
    <w:rsid w:val="00A37621"/>
    <w:rsid w:val="00A4607B"/>
    <w:rsid w:val="00A51526"/>
    <w:rsid w:val="00A524C1"/>
    <w:rsid w:val="00A53CDA"/>
    <w:rsid w:val="00A55B89"/>
    <w:rsid w:val="00A666E2"/>
    <w:rsid w:val="00A667E6"/>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3DF5"/>
    <w:rsid w:val="00AD7E6B"/>
    <w:rsid w:val="00AE0682"/>
    <w:rsid w:val="00AE3241"/>
    <w:rsid w:val="00B02C57"/>
    <w:rsid w:val="00B10DE4"/>
    <w:rsid w:val="00B10FD3"/>
    <w:rsid w:val="00B122E9"/>
    <w:rsid w:val="00B12389"/>
    <w:rsid w:val="00B133F3"/>
    <w:rsid w:val="00B16C29"/>
    <w:rsid w:val="00B25D9E"/>
    <w:rsid w:val="00B30C6E"/>
    <w:rsid w:val="00B3246D"/>
    <w:rsid w:val="00B32FD8"/>
    <w:rsid w:val="00B41291"/>
    <w:rsid w:val="00B41483"/>
    <w:rsid w:val="00B4178D"/>
    <w:rsid w:val="00B42D63"/>
    <w:rsid w:val="00B43DD3"/>
    <w:rsid w:val="00B4760C"/>
    <w:rsid w:val="00B64A91"/>
    <w:rsid w:val="00B757E2"/>
    <w:rsid w:val="00B8067B"/>
    <w:rsid w:val="00B84F03"/>
    <w:rsid w:val="00B8505E"/>
    <w:rsid w:val="00B85F42"/>
    <w:rsid w:val="00B86693"/>
    <w:rsid w:val="00B93D55"/>
    <w:rsid w:val="00B943F8"/>
    <w:rsid w:val="00B9731E"/>
    <w:rsid w:val="00BA0B15"/>
    <w:rsid w:val="00BB2D2A"/>
    <w:rsid w:val="00BC0761"/>
    <w:rsid w:val="00BC0884"/>
    <w:rsid w:val="00BC6170"/>
    <w:rsid w:val="00BD1428"/>
    <w:rsid w:val="00BD2317"/>
    <w:rsid w:val="00BD314D"/>
    <w:rsid w:val="00BD5DC5"/>
    <w:rsid w:val="00BE1AAF"/>
    <w:rsid w:val="00BE2524"/>
    <w:rsid w:val="00BE7A05"/>
    <w:rsid w:val="00BF0299"/>
    <w:rsid w:val="00BF7A76"/>
    <w:rsid w:val="00C10344"/>
    <w:rsid w:val="00C12EBA"/>
    <w:rsid w:val="00C25BA2"/>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75599"/>
    <w:rsid w:val="00C820B0"/>
    <w:rsid w:val="00C847AC"/>
    <w:rsid w:val="00C865AF"/>
    <w:rsid w:val="00C8668A"/>
    <w:rsid w:val="00C9549B"/>
    <w:rsid w:val="00CA1F30"/>
    <w:rsid w:val="00CA541F"/>
    <w:rsid w:val="00CA589F"/>
    <w:rsid w:val="00CB1096"/>
    <w:rsid w:val="00CB4850"/>
    <w:rsid w:val="00CB55E8"/>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4955"/>
    <w:rsid w:val="00D167B0"/>
    <w:rsid w:val="00D27A1C"/>
    <w:rsid w:val="00D27EF0"/>
    <w:rsid w:val="00D322D6"/>
    <w:rsid w:val="00D356B7"/>
    <w:rsid w:val="00D35872"/>
    <w:rsid w:val="00D376A7"/>
    <w:rsid w:val="00D50818"/>
    <w:rsid w:val="00D51384"/>
    <w:rsid w:val="00D516B0"/>
    <w:rsid w:val="00D53F58"/>
    <w:rsid w:val="00D62110"/>
    <w:rsid w:val="00D6282D"/>
    <w:rsid w:val="00D63390"/>
    <w:rsid w:val="00D6369F"/>
    <w:rsid w:val="00D65A88"/>
    <w:rsid w:val="00D65D79"/>
    <w:rsid w:val="00D672D8"/>
    <w:rsid w:val="00D70136"/>
    <w:rsid w:val="00D80E4E"/>
    <w:rsid w:val="00D80F72"/>
    <w:rsid w:val="00D812CE"/>
    <w:rsid w:val="00D847C6"/>
    <w:rsid w:val="00D8583F"/>
    <w:rsid w:val="00D90D19"/>
    <w:rsid w:val="00D9244C"/>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0B9E"/>
    <w:rsid w:val="00ED188E"/>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2C54"/>
    <w:rsid w:val="00F6484F"/>
    <w:rsid w:val="00F73556"/>
    <w:rsid w:val="00F73D24"/>
    <w:rsid w:val="00F74316"/>
    <w:rsid w:val="00F774ED"/>
    <w:rsid w:val="00F8046B"/>
    <w:rsid w:val="00F8115C"/>
    <w:rsid w:val="00F81CC3"/>
    <w:rsid w:val="00F850E2"/>
    <w:rsid w:val="00F85DFA"/>
    <w:rsid w:val="00F86C08"/>
    <w:rsid w:val="00F901D3"/>
    <w:rsid w:val="00F92071"/>
    <w:rsid w:val="00F93BDA"/>
    <w:rsid w:val="00F93BDB"/>
    <w:rsid w:val="00F95079"/>
    <w:rsid w:val="00F95BB9"/>
    <w:rsid w:val="00FA08DE"/>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1">
    <w:name w:val="heading 1"/>
    <w:basedOn w:val="Normal"/>
    <w:next w:val="Normal"/>
    <w:link w:val="Heading1Char"/>
    <w:qFormat/>
    <w:locked/>
    <w:rsid w:val="00CB5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CB55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character" w:customStyle="1" w:styleId="Heading1Char">
    <w:name w:val="Heading 1 Char"/>
    <w:basedOn w:val="DefaultParagraphFont"/>
    <w:link w:val="Heading1"/>
    <w:rsid w:val="00CB55E8"/>
    <w:rPr>
      <w:rFonts w:asciiTheme="majorHAnsi" w:eastAsiaTheme="majorEastAsia" w:hAnsiTheme="majorHAnsi" w:cstheme="majorBidi"/>
      <w:color w:val="365F91" w:themeColor="accent1" w:themeShade="BF"/>
      <w:sz w:val="32"/>
      <w:szCs w:val="32"/>
      <w:lang w:val="en-GB" w:eastAsia="en-US"/>
    </w:rPr>
  </w:style>
  <w:style w:type="character" w:customStyle="1" w:styleId="Heading2Char">
    <w:name w:val="Heading 2 Char"/>
    <w:basedOn w:val="DefaultParagraphFont"/>
    <w:link w:val="Heading2"/>
    <w:rsid w:val="00CB55E8"/>
    <w:rPr>
      <w:rFonts w:asciiTheme="majorHAnsi" w:eastAsiaTheme="majorEastAsia" w:hAnsiTheme="majorHAnsi" w:cstheme="majorBidi"/>
      <w:color w:val="365F91" w:themeColor="accent1" w:themeShade="BF"/>
      <w:sz w:val="26"/>
      <w:szCs w:val="26"/>
      <w:lang w:val="en-GB" w:eastAsia="en-US"/>
    </w:rPr>
  </w:style>
  <w:style w:type="character" w:customStyle="1" w:styleId="special">
    <w:name w:val="special"/>
    <w:basedOn w:val="DefaultParagraphFont"/>
    <w:rsid w:val="00CB55E8"/>
  </w:style>
  <w:style w:type="paragraph" w:styleId="NoSpacing">
    <w:name w:val="No Spacing"/>
    <w:uiPriority w:val="1"/>
    <w:qFormat/>
    <w:rsid w:val="000035B7"/>
    <w:rPr>
      <w:rFonts w:cs="Calibri"/>
      <w:sz w:val="22"/>
      <w:szCs w:val="22"/>
      <w:lang w:val="en-GB" w:eastAsia="en-US"/>
    </w:rPr>
  </w:style>
  <w:style w:type="paragraph" w:styleId="Header">
    <w:name w:val="header"/>
    <w:basedOn w:val="Normal"/>
    <w:link w:val="HeaderChar"/>
    <w:uiPriority w:val="99"/>
    <w:unhideWhenUsed/>
    <w:rsid w:val="0013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3F3"/>
    <w:rPr>
      <w:rFonts w:cs="Calibri"/>
      <w:sz w:val="22"/>
      <w:szCs w:val="22"/>
      <w:lang w:val="en-GB" w:eastAsia="en-US"/>
    </w:rPr>
  </w:style>
  <w:style w:type="paragraph" w:styleId="Footer">
    <w:name w:val="footer"/>
    <w:basedOn w:val="Normal"/>
    <w:link w:val="FooterChar"/>
    <w:uiPriority w:val="99"/>
    <w:unhideWhenUsed/>
    <w:rsid w:val="0013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F3"/>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598322434">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80612195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43CF-EB40-492B-9A9A-78323B8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2018-10-24T13:16:00Z</cp:lastPrinted>
  <dcterms:created xsi:type="dcterms:W3CDTF">2018-11-07T07:05:00Z</dcterms:created>
  <dcterms:modified xsi:type="dcterms:W3CDTF">2018-11-07T07:05:00Z</dcterms:modified>
</cp:coreProperties>
</file>