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938DE" w:rsidRDefault="00BC5A3F" w:rsidP="004A7866">
      <w:pPr>
        <w:spacing w:line="360" w:lineRule="auto"/>
        <w:jc w:val="center"/>
        <w:rPr>
          <w:rFonts w:ascii="Arial" w:hAnsi="Arial" w:cs="Arial"/>
          <w:b/>
          <w:sz w:val="22"/>
          <w:szCs w:val="22"/>
        </w:rPr>
      </w:pPr>
      <w:bookmarkStart w:id="0" w:name="_Hlk64275270"/>
      <w:bookmarkStart w:id="1" w:name="_Hlk34206045"/>
      <w:bookmarkStart w:id="2" w:name="_Hlk64283318"/>
      <w:r w:rsidRPr="00E938DE">
        <w:rPr>
          <w:rFonts w:ascii="Arial" w:hAnsi="Arial" w:cs="Arial"/>
          <w:b/>
          <w:sz w:val="22"/>
          <w:szCs w:val="22"/>
        </w:rPr>
        <w:t xml:space="preserve">NATIONAL </w:t>
      </w:r>
      <w:r w:rsidR="00070924">
        <w:rPr>
          <w:rFonts w:ascii="Arial" w:hAnsi="Arial" w:cs="Arial"/>
          <w:b/>
          <w:sz w:val="22"/>
          <w:szCs w:val="22"/>
        </w:rPr>
        <w:t>ASSEMBLY</w:t>
      </w:r>
    </w:p>
    <w:p w:rsidR="00BC5A3F" w:rsidRPr="00E150D2" w:rsidRDefault="00BC5A3F" w:rsidP="004A7866">
      <w:pPr>
        <w:spacing w:line="360" w:lineRule="auto"/>
        <w:jc w:val="center"/>
        <w:rPr>
          <w:rFonts w:ascii="Arial" w:hAnsi="Arial" w:cs="Arial"/>
          <w:b/>
          <w:sz w:val="22"/>
          <w:szCs w:val="22"/>
        </w:rPr>
      </w:pPr>
      <w:r w:rsidRPr="00E150D2">
        <w:rPr>
          <w:rFonts w:ascii="Arial" w:hAnsi="Arial" w:cs="Arial"/>
          <w:b/>
          <w:sz w:val="22"/>
          <w:szCs w:val="22"/>
        </w:rPr>
        <w:t xml:space="preserve">QUESTION FOR </w:t>
      </w:r>
      <w:r w:rsidR="00E938DE" w:rsidRPr="00E150D2">
        <w:rPr>
          <w:rFonts w:ascii="Arial" w:hAnsi="Arial" w:cs="Arial"/>
          <w:b/>
          <w:sz w:val="22"/>
          <w:szCs w:val="22"/>
        </w:rPr>
        <w:t>WRITTEN</w:t>
      </w:r>
      <w:r w:rsidRPr="00E150D2">
        <w:rPr>
          <w:rFonts w:ascii="Arial" w:hAnsi="Arial" w:cs="Arial"/>
          <w:b/>
          <w:sz w:val="22"/>
          <w:szCs w:val="22"/>
        </w:rPr>
        <w:t xml:space="preserve"> REPLY</w:t>
      </w:r>
    </w:p>
    <w:p w:rsidR="00BC5A3F" w:rsidRDefault="00BC5A3F" w:rsidP="004A7866">
      <w:pPr>
        <w:spacing w:line="360" w:lineRule="auto"/>
        <w:jc w:val="center"/>
        <w:rPr>
          <w:rFonts w:ascii="Arial" w:hAnsi="Arial" w:cs="Arial"/>
          <w:b/>
          <w:sz w:val="22"/>
          <w:szCs w:val="22"/>
        </w:rPr>
      </w:pPr>
      <w:bookmarkStart w:id="3" w:name="_Hlk55548705"/>
      <w:r w:rsidRPr="00C60A55">
        <w:rPr>
          <w:rFonts w:ascii="Arial" w:hAnsi="Arial" w:cs="Arial"/>
          <w:b/>
          <w:sz w:val="22"/>
          <w:szCs w:val="22"/>
        </w:rPr>
        <w:t xml:space="preserve">QUESTION NUMBER: </w:t>
      </w:r>
      <w:bookmarkStart w:id="4" w:name="_Hlk34208942"/>
      <w:bookmarkStart w:id="5" w:name="_Hlk49113957"/>
      <w:r w:rsidR="00070924">
        <w:rPr>
          <w:rFonts w:ascii="Arial" w:hAnsi="Arial" w:cs="Arial"/>
          <w:b/>
          <w:sz w:val="22"/>
          <w:szCs w:val="22"/>
        </w:rPr>
        <w:t>296</w:t>
      </w:r>
      <w:r w:rsidR="0027436F" w:rsidRPr="00C60A55">
        <w:rPr>
          <w:rFonts w:ascii="Arial" w:hAnsi="Arial" w:cs="Arial"/>
          <w:b/>
          <w:sz w:val="22"/>
          <w:szCs w:val="22"/>
        </w:rPr>
        <w:t xml:space="preserve"> </w:t>
      </w:r>
      <w:r w:rsidRPr="00C60A55">
        <w:rPr>
          <w:rFonts w:ascii="Arial" w:hAnsi="Arial" w:cs="Arial"/>
          <w:b/>
          <w:sz w:val="22"/>
          <w:szCs w:val="22"/>
        </w:rPr>
        <w:t>[</w:t>
      </w:r>
      <w:bookmarkStart w:id="6" w:name="_GoBack"/>
      <w:r w:rsidR="00070924">
        <w:rPr>
          <w:rFonts w:ascii="Arial" w:hAnsi="Arial" w:cs="Arial"/>
          <w:b/>
          <w:sz w:val="22"/>
          <w:szCs w:val="22"/>
        </w:rPr>
        <w:t>N</w:t>
      </w:r>
      <w:r w:rsidR="00737375" w:rsidRPr="00737375">
        <w:rPr>
          <w:rFonts w:ascii="Arial" w:hAnsi="Arial" w:cs="Arial"/>
          <w:b/>
          <w:sz w:val="22"/>
          <w:szCs w:val="22"/>
        </w:rPr>
        <w:t>W</w:t>
      </w:r>
      <w:r w:rsidR="00070924">
        <w:rPr>
          <w:rFonts w:ascii="Arial" w:hAnsi="Arial" w:cs="Arial"/>
          <w:b/>
          <w:sz w:val="22"/>
          <w:szCs w:val="22"/>
        </w:rPr>
        <w:t>300E</w:t>
      </w:r>
      <w:bookmarkEnd w:id="6"/>
      <w:r w:rsidRPr="00C60A55">
        <w:rPr>
          <w:rFonts w:ascii="Arial" w:hAnsi="Arial" w:cs="Arial"/>
          <w:b/>
          <w:sz w:val="22"/>
          <w:szCs w:val="22"/>
        </w:rPr>
        <w:t>]</w:t>
      </w:r>
      <w:bookmarkEnd w:id="4"/>
    </w:p>
    <w:bookmarkEnd w:id="0"/>
    <w:bookmarkEnd w:id="1"/>
    <w:bookmarkEnd w:id="2"/>
    <w:bookmarkEnd w:id="3"/>
    <w:bookmarkEnd w:id="5"/>
    <w:p w:rsidR="008E3D62" w:rsidRPr="00070924" w:rsidRDefault="008E3D62" w:rsidP="00070924">
      <w:pPr>
        <w:spacing w:line="360" w:lineRule="auto"/>
        <w:jc w:val="both"/>
        <w:rPr>
          <w:rFonts w:ascii="Arial" w:hAnsi="Arial" w:cs="Arial"/>
          <w:b/>
          <w:sz w:val="22"/>
          <w:szCs w:val="22"/>
        </w:rPr>
      </w:pPr>
    </w:p>
    <w:p w:rsidR="00070924" w:rsidRPr="00070924" w:rsidRDefault="00070924" w:rsidP="00070924">
      <w:pPr>
        <w:spacing w:before="100" w:beforeAutospacing="1" w:after="100" w:afterAutospacing="1" w:line="360" w:lineRule="auto"/>
        <w:ind w:left="720" w:hanging="720"/>
        <w:jc w:val="both"/>
        <w:outlineLvl w:val="0"/>
        <w:rPr>
          <w:rFonts w:ascii="Arial" w:hAnsi="Arial" w:cs="Arial"/>
          <w:b/>
          <w:sz w:val="22"/>
          <w:szCs w:val="22"/>
        </w:rPr>
      </w:pPr>
      <w:r w:rsidRPr="00070924">
        <w:rPr>
          <w:rFonts w:ascii="Arial" w:hAnsi="Arial" w:cs="Arial"/>
          <w:b/>
          <w:sz w:val="22"/>
          <w:szCs w:val="22"/>
        </w:rPr>
        <w:t>296.</w:t>
      </w:r>
      <w:r w:rsidRPr="00070924">
        <w:rPr>
          <w:rFonts w:ascii="Arial" w:hAnsi="Arial" w:cs="Arial"/>
          <w:b/>
          <w:sz w:val="22"/>
          <w:szCs w:val="22"/>
        </w:rPr>
        <w:tab/>
      </w:r>
      <w:proofErr w:type="spellStart"/>
      <w:r w:rsidRPr="00070924">
        <w:rPr>
          <w:rFonts w:ascii="Arial" w:hAnsi="Arial" w:cs="Arial"/>
          <w:b/>
          <w:sz w:val="22"/>
          <w:szCs w:val="22"/>
        </w:rPr>
        <w:t>Mr</w:t>
      </w:r>
      <w:proofErr w:type="spellEnd"/>
      <w:r w:rsidRPr="00070924">
        <w:rPr>
          <w:rFonts w:ascii="Arial" w:hAnsi="Arial" w:cs="Arial"/>
          <w:b/>
          <w:sz w:val="22"/>
          <w:szCs w:val="22"/>
        </w:rPr>
        <w:t xml:space="preserve"> C Brink (DA) to ask the Minister of Finance</w:t>
      </w:r>
      <w:r w:rsidR="008F38FB" w:rsidRPr="00070924">
        <w:rPr>
          <w:rFonts w:ascii="Arial" w:hAnsi="Arial" w:cs="Arial"/>
          <w:b/>
          <w:sz w:val="22"/>
          <w:szCs w:val="22"/>
        </w:rPr>
        <w:fldChar w:fldCharType="begin"/>
      </w:r>
      <w:r w:rsidRPr="00070924">
        <w:rPr>
          <w:rFonts w:ascii="Arial" w:hAnsi="Arial" w:cs="Arial"/>
          <w:sz w:val="22"/>
          <w:szCs w:val="22"/>
        </w:rPr>
        <w:instrText xml:space="preserve"> XE "</w:instrText>
      </w:r>
      <w:r w:rsidRPr="00070924">
        <w:rPr>
          <w:rFonts w:ascii="Arial" w:hAnsi="Arial" w:cs="Arial"/>
          <w:b/>
          <w:sz w:val="22"/>
          <w:szCs w:val="22"/>
        </w:rPr>
        <w:instrText>Finance</w:instrText>
      </w:r>
      <w:r w:rsidRPr="00070924">
        <w:rPr>
          <w:rFonts w:ascii="Arial" w:hAnsi="Arial" w:cs="Arial"/>
          <w:sz w:val="22"/>
          <w:szCs w:val="22"/>
        </w:rPr>
        <w:instrText xml:space="preserve">" </w:instrText>
      </w:r>
      <w:r w:rsidR="008F38FB" w:rsidRPr="00070924">
        <w:rPr>
          <w:rFonts w:ascii="Arial" w:hAnsi="Arial" w:cs="Arial"/>
          <w:b/>
          <w:sz w:val="22"/>
          <w:szCs w:val="22"/>
        </w:rPr>
        <w:fldChar w:fldCharType="end"/>
      </w:r>
      <w:r w:rsidRPr="00070924">
        <w:rPr>
          <w:rFonts w:ascii="Arial" w:hAnsi="Arial" w:cs="Arial"/>
          <w:b/>
          <w:sz w:val="22"/>
          <w:szCs w:val="22"/>
        </w:rPr>
        <w:t>:</w:t>
      </w:r>
    </w:p>
    <w:p w:rsidR="00070924" w:rsidRPr="00070924" w:rsidRDefault="00070924" w:rsidP="00070924">
      <w:pPr>
        <w:spacing w:before="100" w:beforeAutospacing="1" w:after="100" w:afterAutospacing="1" w:line="360" w:lineRule="auto"/>
        <w:ind w:left="720" w:hanging="720"/>
        <w:jc w:val="both"/>
        <w:rPr>
          <w:rFonts w:ascii="Arial" w:hAnsi="Arial" w:cs="Arial"/>
          <w:sz w:val="22"/>
          <w:szCs w:val="22"/>
        </w:rPr>
      </w:pPr>
      <w:r w:rsidRPr="00070924">
        <w:rPr>
          <w:rFonts w:ascii="Arial" w:hAnsi="Arial" w:cs="Arial"/>
          <w:sz w:val="22"/>
          <w:szCs w:val="22"/>
        </w:rPr>
        <w:t>(1)</w:t>
      </w:r>
      <w:r w:rsidRPr="00070924">
        <w:rPr>
          <w:rFonts w:ascii="Arial" w:hAnsi="Arial" w:cs="Arial"/>
          <w:sz w:val="22"/>
          <w:szCs w:val="22"/>
        </w:rPr>
        <w:tab/>
        <w:t>What steps has he and/or the National Treasury taken to assess whether tariffs charged by municipalities for water and electricity are sufficient to cover the cost of bulk purchases;</w:t>
      </w:r>
    </w:p>
    <w:p w:rsidR="00070924" w:rsidRPr="00070924" w:rsidRDefault="00070924" w:rsidP="00070924">
      <w:pPr>
        <w:spacing w:before="100" w:beforeAutospacing="1" w:after="100" w:afterAutospacing="1" w:line="360" w:lineRule="auto"/>
        <w:ind w:left="720" w:hanging="720"/>
        <w:jc w:val="both"/>
        <w:rPr>
          <w:rFonts w:ascii="Arial" w:hAnsi="Arial" w:cs="Arial"/>
          <w:sz w:val="22"/>
          <w:szCs w:val="22"/>
        </w:rPr>
      </w:pPr>
      <w:r w:rsidRPr="00070924">
        <w:rPr>
          <w:rFonts w:ascii="Arial" w:hAnsi="Arial" w:cs="Arial"/>
          <w:sz w:val="22"/>
          <w:szCs w:val="22"/>
        </w:rPr>
        <w:t>(2)</w:t>
      </w:r>
      <w:r w:rsidRPr="00070924">
        <w:rPr>
          <w:rFonts w:ascii="Arial" w:hAnsi="Arial" w:cs="Arial"/>
          <w:sz w:val="22"/>
          <w:szCs w:val="22"/>
        </w:rPr>
        <w:tab/>
        <w:t>to what extent do tariffs charged by municipalities for water and electricity cover the cost of bulk purchases;</w:t>
      </w:r>
    </w:p>
    <w:p w:rsidR="00070924" w:rsidRPr="00070924" w:rsidRDefault="00070924" w:rsidP="00070924">
      <w:pPr>
        <w:spacing w:before="100" w:beforeAutospacing="1" w:after="100" w:afterAutospacing="1" w:line="360" w:lineRule="auto"/>
        <w:ind w:left="720" w:hanging="720"/>
        <w:jc w:val="both"/>
        <w:rPr>
          <w:rFonts w:ascii="Arial" w:hAnsi="Arial" w:cs="Arial"/>
          <w:sz w:val="22"/>
          <w:szCs w:val="22"/>
        </w:rPr>
      </w:pPr>
      <w:r w:rsidRPr="00070924">
        <w:rPr>
          <w:rFonts w:ascii="Arial" w:hAnsi="Arial" w:cs="Arial"/>
          <w:sz w:val="22"/>
          <w:szCs w:val="22"/>
        </w:rPr>
        <w:t>(3)</w:t>
      </w:r>
      <w:r w:rsidRPr="00070924">
        <w:rPr>
          <w:rFonts w:ascii="Arial" w:hAnsi="Arial" w:cs="Arial"/>
          <w:sz w:val="22"/>
          <w:szCs w:val="22"/>
        </w:rPr>
        <w:tab/>
        <w:t xml:space="preserve">which municipalities have been found to have tariffs that are insufficient to cover the cost of bulk water and/or electricity costs; </w:t>
      </w:r>
    </w:p>
    <w:p w:rsidR="00070924" w:rsidRDefault="00070924" w:rsidP="00070924">
      <w:pPr>
        <w:spacing w:before="100" w:beforeAutospacing="1" w:after="100" w:afterAutospacing="1" w:line="360" w:lineRule="auto"/>
        <w:ind w:left="720" w:hanging="720"/>
        <w:jc w:val="both"/>
        <w:rPr>
          <w:rFonts w:ascii="Arial" w:hAnsi="Arial" w:cs="Arial"/>
          <w:sz w:val="22"/>
          <w:szCs w:val="22"/>
        </w:rPr>
      </w:pPr>
      <w:r w:rsidRPr="00070924">
        <w:rPr>
          <w:rFonts w:ascii="Arial" w:hAnsi="Arial" w:cs="Arial"/>
          <w:sz w:val="22"/>
          <w:szCs w:val="22"/>
        </w:rPr>
        <w:t>(4)</w:t>
      </w:r>
      <w:r w:rsidRPr="00070924">
        <w:rPr>
          <w:rFonts w:ascii="Arial" w:hAnsi="Arial" w:cs="Arial"/>
          <w:sz w:val="22"/>
          <w:szCs w:val="22"/>
        </w:rPr>
        <w:tab/>
        <w:t>whether he will ask for such assessments to be done; if not, why not; if so, what are the relevant details?</w:t>
      </w:r>
      <w:r w:rsidRPr="00070924">
        <w:rPr>
          <w:rFonts w:ascii="Arial" w:hAnsi="Arial" w:cs="Arial"/>
          <w:sz w:val="22"/>
          <w:szCs w:val="22"/>
        </w:rPr>
        <w:tab/>
      </w:r>
      <w:r w:rsidRPr="00070924">
        <w:rPr>
          <w:rFonts w:ascii="Arial" w:hAnsi="Arial" w:cs="Arial"/>
          <w:sz w:val="22"/>
          <w:szCs w:val="22"/>
        </w:rPr>
        <w:tab/>
      </w:r>
      <w:r w:rsidRPr="00070924">
        <w:rPr>
          <w:rFonts w:ascii="Arial" w:hAnsi="Arial" w:cs="Arial"/>
          <w:sz w:val="22"/>
          <w:szCs w:val="22"/>
        </w:rPr>
        <w:tab/>
      </w:r>
    </w:p>
    <w:p w:rsidR="00070924" w:rsidRPr="00070924" w:rsidRDefault="00070924" w:rsidP="00070924">
      <w:pPr>
        <w:spacing w:before="100" w:beforeAutospacing="1" w:after="100" w:afterAutospacing="1" w:line="360" w:lineRule="auto"/>
        <w:ind w:left="720" w:hanging="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70924">
        <w:rPr>
          <w:rFonts w:ascii="Arial" w:hAnsi="Arial" w:cs="Arial"/>
          <w:sz w:val="22"/>
          <w:szCs w:val="22"/>
        </w:rPr>
        <w:tab/>
      </w:r>
      <w:r w:rsidRPr="00070924">
        <w:rPr>
          <w:rFonts w:ascii="Arial" w:hAnsi="Arial" w:cs="Arial"/>
          <w:sz w:val="22"/>
          <w:szCs w:val="22"/>
        </w:rPr>
        <w:tab/>
      </w:r>
      <w:r w:rsidRPr="00070924">
        <w:rPr>
          <w:rFonts w:ascii="Arial" w:hAnsi="Arial" w:cs="Arial"/>
          <w:sz w:val="22"/>
          <w:szCs w:val="22"/>
        </w:rPr>
        <w:tab/>
        <w:t>NW300E</w:t>
      </w:r>
    </w:p>
    <w:p w:rsidR="008E3D62" w:rsidRPr="00070924" w:rsidRDefault="00A239C3" w:rsidP="00070924">
      <w:pPr>
        <w:spacing w:before="100" w:beforeAutospacing="1" w:after="100" w:afterAutospacing="1" w:line="360" w:lineRule="auto"/>
        <w:jc w:val="both"/>
        <w:outlineLvl w:val="0"/>
        <w:rPr>
          <w:rFonts w:ascii="Arial" w:hAnsi="Arial" w:cs="Arial"/>
          <w:sz w:val="22"/>
          <w:szCs w:val="22"/>
        </w:rPr>
      </w:pPr>
      <w:r w:rsidRPr="00070924">
        <w:rPr>
          <w:rFonts w:ascii="Arial" w:hAnsi="Arial" w:cs="Arial"/>
          <w:b/>
          <w:sz w:val="22"/>
          <w:szCs w:val="22"/>
        </w:rPr>
        <w:t xml:space="preserve"> </w:t>
      </w:r>
      <w:r w:rsidR="008E3D62" w:rsidRPr="00070924">
        <w:rPr>
          <w:rFonts w:ascii="Arial" w:hAnsi="Arial" w:cs="Arial"/>
          <w:b/>
          <w:sz w:val="22"/>
          <w:szCs w:val="22"/>
        </w:rPr>
        <w:t>REPLY</w:t>
      </w:r>
      <w:r w:rsidR="008E3D62" w:rsidRPr="00070924">
        <w:rPr>
          <w:rFonts w:ascii="Arial" w:hAnsi="Arial" w:cs="Arial"/>
          <w:sz w:val="22"/>
          <w:szCs w:val="22"/>
        </w:rPr>
        <w:t>:</w:t>
      </w:r>
    </w:p>
    <w:p w:rsidR="00FF4A29" w:rsidRDefault="00BB1F44" w:rsidP="005A21B1">
      <w:pPr>
        <w:spacing w:before="100" w:beforeAutospacing="1" w:after="100" w:afterAutospacing="1" w:line="360" w:lineRule="auto"/>
        <w:ind w:left="720" w:hanging="720"/>
        <w:jc w:val="both"/>
        <w:rPr>
          <w:rFonts w:ascii="Arial" w:hAnsi="Arial" w:cs="Arial"/>
          <w:bCs/>
          <w:sz w:val="22"/>
          <w:szCs w:val="22"/>
        </w:rPr>
      </w:pPr>
      <w:r w:rsidRPr="00BB1F44">
        <w:rPr>
          <w:rFonts w:ascii="Arial" w:hAnsi="Arial" w:cs="Arial"/>
          <w:i/>
          <w:sz w:val="22"/>
          <w:szCs w:val="22"/>
        </w:rPr>
        <w:t>(1)</w:t>
      </w:r>
      <w:r w:rsidRPr="00BB1F44">
        <w:rPr>
          <w:rFonts w:ascii="Arial" w:hAnsi="Arial" w:cs="Arial"/>
          <w:i/>
          <w:sz w:val="22"/>
          <w:szCs w:val="22"/>
        </w:rPr>
        <w:tab/>
      </w:r>
      <w:r w:rsidR="00794436">
        <w:rPr>
          <w:rFonts w:ascii="Arial" w:hAnsi="Arial" w:cs="Arial"/>
          <w:bCs/>
          <w:sz w:val="22"/>
          <w:szCs w:val="22"/>
        </w:rPr>
        <w:t xml:space="preserve">A sustainable tariff is the one that is cost reflective (Includes all the costs of providing a service, such as bulk purchases). </w:t>
      </w:r>
      <w:r>
        <w:rPr>
          <w:rFonts w:ascii="Arial" w:hAnsi="Arial" w:cs="Arial"/>
          <w:bCs/>
          <w:sz w:val="22"/>
          <w:szCs w:val="22"/>
        </w:rPr>
        <w:t xml:space="preserve"> </w:t>
      </w:r>
      <w:r w:rsidR="00EC2565">
        <w:rPr>
          <w:rFonts w:ascii="Arial" w:hAnsi="Arial" w:cs="Arial"/>
          <w:bCs/>
          <w:sz w:val="22"/>
          <w:szCs w:val="22"/>
        </w:rPr>
        <w:t>Several</w:t>
      </w:r>
      <w:r w:rsidR="00794436">
        <w:rPr>
          <w:rFonts w:ascii="Arial" w:hAnsi="Arial" w:cs="Arial"/>
          <w:bCs/>
          <w:sz w:val="22"/>
          <w:szCs w:val="22"/>
        </w:rPr>
        <w:t xml:space="preserve"> municipalities have not been</w:t>
      </w:r>
      <w:r w:rsidR="0061096F">
        <w:rPr>
          <w:rFonts w:ascii="Arial" w:hAnsi="Arial" w:cs="Arial"/>
          <w:bCs/>
          <w:sz w:val="22"/>
          <w:szCs w:val="22"/>
        </w:rPr>
        <w:t xml:space="preserve"> able to establish a cost reflective tariff, which has negatively impacted the sustainability of municipal services.</w:t>
      </w:r>
      <w:r w:rsidR="00EC2565">
        <w:rPr>
          <w:rFonts w:ascii="Arial" w:hAnsi="Arial" w:cs="Arial"/>
          <w:bCs/>
          <w:sz w:val="22"/>
          <w:szCs w:val="22"/>
        </w:rPr>
        <w:t xml:space="preserve"> In response National Treasury has developed a tool for use by municipalities, that if used correctly it will see municipalities charging cost reflective tariffs that will cover the cost of bulk purchases. </w:t>
      </w:r>
      <w:r>
        <w:rPr>
          <w:rFonts w:ascii="Arial" w:hAnsi="Arial" w:cs="Arial"/>
          <w:bCs/>
          <w:sz w:val="22"/>
          <w:szCs w:val="22"/>
        </w:rPr>
        <w:t xml:space="preserve"> </w:t>
      </w:r>
      <w:r w:rsidR="00EC2565">
        <w:rPr>
          <w:rFonts w:ascii="Arial" w:hAnsi="Arial" w:cs="Arial"/>
          <w:bCs/>
          <w:sz w:val="22"/>
          <w:szCs w:val="22"/>
        </w:rPr>
        <w:t>Treasury through its structures is also offering technical support to municipalities to assess and set cost reflective tariffs.</w:t>
      </w:r>
    </w:p>
    <w:p w:rsidR="00BB1F44" w:rsidRDefault="00BB1F44" w:rsidP="00BB1F44">
      <w:pPr>
        <w:pStyle w:val="ListParagraph"/>
        <w:tabs>
          <w:tab w:val="left" w:pos="432"/>
          <w:tab w:val="left" w:pos="864"/>
        </w:tabs>
        <w:spacing w:line="360" w:lineRule="auto"/>
        <w:jc w:val="both"/>
        <w:rPr>
          <w:rFonts w:ascii="Arial" w:hAnsi="Arial" w:cs="Arial"/>
          <w:bCs/>
          <w:sz w:val="22"/>
          <w:szCs w:val="22"/>
        </w:rPr>
      </w:pPr>
    </w:p>
    <w:p w:rsidR="00BB1F44" w:rsidRDefault="00BB1F44" w:rsidP="00BB1F44">
      <w:pPr>
        <w:pStyle w:val="ListParagraph"/>
        <w:tabs>
          <w:tab w:val="left" w:pos="432"/>
          <w:tab w:val="left" w:pos="864"/>
        </w:tabs>
        <w:spacing w:line="360" w:lineRule="auto"/>
        <w:jc w:val="both"/>
        <w:rPr>
          <w:rFonts w:ascii="Arial" w:hAnsi="Arial" w:cs="Arial"/>
          <w:bCs/>
          <w:sz w:val="22"/>
          <w:szCs w:val="22"/>
        </w:rPr>
      </w:pPr>
      <w:r>
        <w:rPr>
          <w:rFonts w:ascii="Arial" w:hAnsi="Arial" w:cs="Arial"/>
          <w:bCs/>
          <w:sz w:val="22"/>
          <w:szCs w:val="22"/>
        </w:rPr>
        <w:t xml:space="preserve">Additionally, National Treasury and CoGTA are jointly funding a Cost of Supply (COS) study that targets the top 20 municipal defaulters of Eskom and top 10 municipal defaulters of the water boards.  The study is intended to assist municipalities determine </w:t>
      </w:r>
      <w:r>
        <w:rPr>
          <w:rFonts w:ascii="Arial" w:hAnsi="Arial" w:cs="Arial"/>
          <w:bCs/>
          <w:sz w:val="22"/>
          <w:szCs w:val="22"/>
        </w:rPr>
        <w:lastRenderedPageBreak/>
        <w:t>the true cost for the respective services (water and electricity) which will subsequently influence better tariffs.</w:t>
      </w:r>
    </w:p>
    <w:p w:rsidR="00A249CF" w:rsidRDefault="00BB1F44" w:rsidP="005A21B1">
      <w:pPr>
        <w:spacing w:before="100" w:beforeAutospacing="1" w:after="100" w:afterAutospacing="1" w:line="360" w:lineRule="auto"/>
        <w:ind w:left="720" w:hanging="720"/>
        <w:jc w:val="both"/>
        <w:rPr>
          <w:rFonts w:ascii="Arial" w:hAnsi="Arial" w:cs="Arial"/>
          <w:bCs/>
          <w:sz w:val="22"/>
          <w:szCs w:val="22"/>
        </w:rPr>
      </w:pPr>
      <w:r w:rsidRPr="00BB1F44">
        <w:rPr>
          <w:rFonts w:ascii="Arial" w:hAnsi="Arial" w:cs="Arial"/>
          <w:i/>
          <w:sz w:val="22"/>
          <w:szCs w:val="22"/>
        </w:rPr>
        <w:t>(2)</w:t>
      </w:r>
      <w:r w:rsidRPr="00BB1F44">
        <w:rPr>
          <w:rFonts w:ascii="Arial" w:hAnsi="Arial" w:cs="Arial"/>
          <w:i/>
          <w:sz w:val="22"/>
          <w:szCs w:val="22"/>
        </w:rPr>
        <w:tab/>
      </w:r>
      <w:r w:rsidR="00A249CF">
        <w:rPr>
          <w:rFonts w:ascii="Arial" w:hAnsi="Arial" w:cs="Arial"/>
          <w:bCs/>
          <w:sz w:val="22"/>
          <w:szCs w:val="22"/>
        </w:rPr>
        <w:t xml:space="preserve">Ideally the tariffs set by municipalities should cover the cost of bulk purchases. </w:t>
      </w:r>
      <w:r>
        <w:rPr>
          <w:rFonts w:ascii="Arial" w:hAnsi="Arial" w:cs="Arial"/>
          <w:bCs/>
          <w:sz w:val="22"/>
          <w:szCs w:val="22"/>
        </w:rPr>
        <w:t xml:space="preserve"> </w:t>
      </w:r>
      <w:r w:rsidR="00EE0C94">
        <w:rPr>
          <w:rFonts w:ascii="Arial" w:hAnsi="Arial" w:cs="Arial"/>
          <w:bCs/>
          <w:sz w:val="22"/>
          <w:szCs w:val="22"/>
        </w:rPr>
        <w:t xml:space="preserve">National Treasury consistently advocates this practice.  </w:t>
      </w:r>
      <w:r w:rsidR="00A249CF">
        <w:rPr>
          <w:rFonts w:ascii="Arial" w:hAnsi="Arial" w:cs="Arial"/>
          <w:bCs/>
          <w:sz w:val="22"/>
          <w:szCs w:val="22"/>
        </w:rPr>
        <w:t xml:space="preserve">In the same understanding full absorption of the costs such as bulk purchases into tariffs, might result in </w:t>
      </w:r>
      <w:r w:rsidR="00D14A40">
        <w:rPr>
          <w:rFonts w:ascii="Arial" w:hAnsi="Arial" w:cs="Arial"/>
          <w:bCs/>
          <w:sz w:val="22"/>
          <w:szCs w:val="22"/>
        </w:rPr>
        <w:t xml:space="preserve">unaffordable tariffs for low-income </w:t>
      </w:r>
      <w:r w:rsidR="00EE0C94">
        <w:rPr>
          <w:rFonts w:ascii="Arial" w:hAnsi="Arial" w:cs="Arial"/>
          <w:bCs/>
          <w:sz w:val="22"/>
          <w:szCs w:val="22"/>
        </w:rPr>
        <w:t>households</w:t>
      </w:r>
      <w:r w:rsidR="00D14A40">
        <w:rPr>
          <w:rFonts w:ascii="Arial" w:hAnsi="Arial" w:cs="Arial"/>
          <w:bCs/>
          <w:sz w:val="22"/>
          <w:szCs w:val="22"/>
        </w:rPr>
        <w:t xml:space="preserve">. </w:t>
      </w:r>
      <w:r w:rsidR="00EE0C94">
        <w:rPr>
          <w:rFonts w:ascii="Arial" w:hAnsi="Arial" w:cs="Arial"/>
          <w:bCs/>
          <w:sz w:val="22"/>
          <w:szCs w:val="22"/>
        </w:rPr>
        <w:t xml:space="preserve"> In some instances, c</w:t>
      </w:r>
      <w:r w:rsidR="00D14A40">
        <w:rPr>
          <w:rFonts w:ascii="Arial" w:hAnsi="Arial" w:cs="Arial"/>
          <w:bCs/>
          <w:sz w:val="22"/>
          <w:szCs w:val="22"/>
        </w:rPr>
        <w:t xml:space="preserve">alculating </w:t>
      </w:r>
      <w:proofErr w:type="gramStart"/>
      <w:r w:rsidR="00D14A40">
        <w:rPr>
          <w:rFonts w:ascii="Arial" w:hAnsi="Arial" w:cs="Arial"/>
          <w:bCs/>
          <w:sz w:val="22"/>
          <w:szCs w:val="22"/>
        </w:rPr>
        <w:t>a cost reflective tariffs</w:t>
      </w:r>
      <w:proofErr w:type="gramEnd"/>
      <w:r w:rsidR="00D14A40">
        <w:rPr>
          <w:rFonts w:ascii="Arial" w:hAnsi="Arial" w:cs="Arial"/>
          <w:bCs/>
          <w:sz w:val="22"/>
          <w:szCs w:val="22"/>
        </w:rPr>
        <w:t xml:space="preserve"> makes use of municipal other revenue streams and the equitable share to </w:t>
      </w:r>
      <w:proofErr w:type="spellStart"/>
      <w:r w:rsidR="00D14A40">
        <w:rPr>
          <w:rFonts w:ascii="Arial" w:hAnsi="Arial" w:cs="Arial"/>
          <w:bCs/>
          <w:sz w:val="22"/>
          <w:szCs w:val="22"/>
        </w:rPr>
        <w:t>subsidi</w:t>
      </w:r>
      <w:r w:rsidR="00EE0C94">
        <w:rPr>
          <w:rFonts w:ascii="Arial" w:hAnsi="Arial" w:cs="Arial"/>
          <w:bCs/>
          <w:sz w:val="22"/>
          <w:szCs w:val="22"/>
        </w:rPr>
        <w:t>se</w:t>
      </w:r>
      <w:proofErr w:type="spellEnd"/>
      <w:r w:rsidR="00D14A40">
        <w:rPr>
          <w:rFonts w:ascii="Arial" w:hAnsi="Arial" w:cs="Arial"/>
          <w:bCs/>
          <w:sz w:val="22"/>
          <w:szCs w:val="22"/>
        </w:rPr>
        <w:t xml:space="preserve"> the tariffs for the indigent and low income </w:t>
      </w:r>
      <w:r w:rsidR="00EE0C94">
        <w:rPr>
          <w:rFonts w:ascii="Arial" w:hAnsi="Arial" w:cs="Arial"/>
          <w:bCs/>
          <w:sz w:val="22"/>
          <w:szCs w:val="22"/>
        </w:rPr>
        <w:t>households</w:t>
      </w:r>
      <w:r w:rsidR="00D14A40">
        <w:rPr>
          <w:rFonts w:ascii="Arial" w:hAnsi="Arial" w:cs="Arial"/>
          <w:bCs/>
          <w:sz w:val="22"/>
          <w:szCs w:val="22"/>
        </w:rPr>
        <w:t>.</w:t>
      </w:r>
    </w:p>
    <w:p w:rsidR="00292908" w:rsidRDefault="00AB6294" w:rsidP="005A21B1">
      <w:pPr>
        <w:spacing w:before="100" w:beforeAutospacing="1" w:after="100" w:afterAutospacing="1" w:line="360" w:lineRule="auto"/>
        <w:ind w:left="720" w:hanging="720"/>
        <w:jc w:val="both"/>
        <w:rPr>
          <w:rFonts w:ascii="Arial" w:hAnsi="Arial" w:cs="Arial"/>
          <w:bCs/>
          <w:sz w:val="22"/>
          <w:szCs w:val="22"/>
        </w:rPr>
      </w:pPr>
      <w:r w:rsidRPr="00AB6294">
        <w:rPr>
          <w:rFonts w:ascii="Arial" w:hAnsi="Arial" w:cs="Arial"/>
          <w:i/>
          <w:sz w:val="22"/>
          <w:szCs w:val="22"/>
        </w:rPr>
        <w:t>(3)</w:t>
      </w:r>
      <w:r w:rsidRPr="00AB6294">
        <w:rPr>
          <w:rFonts w:ascii="Arial" w:hAnsi="Arial" w:cs="Arial"/>
          <w:i/>
          <w:sz w:val="22"/>
          <w:szCs w:val="22"/>
        </w:rPr>
        <w:tab/>
      </w:r>
      <w:r>
        <w:rPr>
          <w:rFonts w:ascii="Arial" w:hAnsi="Arial" w:cs="Arial"/>
          <w:bCs/>
          <w:sz w:val="22"/>
          <w:szCs w:val="22"/>
        </w:rPr>
        <w:t xml:space="preserve">Municipalities that do not calculate tariffs through scientific means and merely impose a CPI incremental increase to the previous year’s tariff.  There are observations that some </w:t>
      </w:r>
      <w:r w:rsidR="00292908">
        <w:rPr>
          <w:rFonts w:ascii="Arial" w:hAnsi="Arial" w:cs="Arial"/>
          <w:bCs/>
          <w:sz w:val="22"/>
          <w:szCs w:val="22"/>
        </w:rPr>
        <w:t>rural municipalities</w:t>
      </w:r>
      <w:r>
        <w:rPr>
          <w:rFonts w:ascii="Arial" w:hAnsi="Arial" w:cs="Arial"/>
          <w:bCs/>
          <w:sz w:val="22"/>
          <w:szCs w:val="22"/>
        </w:rPr>
        <w:t xml:space="preserve"> or municipalities that have low revenue base,</w:t>
      </w:r>
      <w:r w:rsidR="00292908">
        <w:rPr>
          <w:rFonts w:ascii="Arial" w:hAnsi="Arial" w:cs="Arial"/>
          <w:bCs/>
          <w:sz w:val="22"/>
          <w:szCs w:val="22"/>
        </w:rPr>
        <w:t xml:space="preserve"> have been found to be charging tariffs which are insufficient to cover the cost</w:t>
      </w:r>
      <w:r>
        <w:rPr>
          <w:rFonts w:ascii="Arial" w:hAnsi="Arial" w:cs="Arial"/>
          <w:bCs/>
          <w:sz w:val="22"/>
          <w:szCs w:val="22"/>
        </w:rPr>
        <w:t xml:space="preserve"> or not cost reflective</w:t>
      </w:r>
      <w:r w:rsidR="00292908">
        <w:rPr>
          <w:rFonts w:ascii="Arial" w:hAnsi="Arial" w:cs="Arial"/>
          <w:bCs/>
          <w:sz w:val="22"/>
          <w:szCs w:val="22"/>
        </w:rPr>
        <w:t>.</w:t>
      </w:r>
    </w:p>
    <w:p w:rsidR="00AB6294" w:rsidRDefault="00AB6294" w:rsidP="00AB6294">
      <w:pPr>
        <w:pStyle w:val="ListParagraph"/>
        <w:tabs>
          <w:tab w:val="left" w:pos="432"/>
          <w:tab w:val="left" w:pos="864"/>
        </w:tabs>
        <w:spacing w:line="360" w:lineRule="auto"/>
        <w:rPr>
          <w:rFonts w:ascii="Arial" w:hAnsi="Arial" w:cs="Arial"/>
          <w:bCs/>
          <w:sz w:val="22"/>
          <w:szCs w:val="22"/>
        </w:rPr>
      </w:pPr>
    </w:p>
    <w:p w:rsidR="00AB6294" w:rsidRDefault="00AB6294" w:rsidP="00752796">
      <w:pPr>
        <w:pStyle w:val="ListParagraph"/>
        <w:tabs>
          <w:tab w:val="left" w:pos="432"/>
          <w:tab w:val="left" w:pos="864"/>
        </w:tabs>
        <w:spacing w:line="360" w:lineRule="auto"/>
        <w:jc w:val="both"/>
        <w:rPr>
          <w:rFonts w:ascii="Arial" w:hAnsi="Arial" w:cs="Arial"/>
          <w:bCs/>
          <w:sz w:val="22"/>
          <w:szCs w:val="22"/>
        </w:rPr>
      </w:pPr>
      <w:r>
        <w:rPr>
          <w:rFonts w:ascii="Arial" w:hAnsi="Arial" w:cs="Arial"/>
          <w:bCs/>
          <w:sz w:val="22"/>
          <w:szCs w:val="22"/>
        </w:rPr>
        <w:t>In some cases, as the result of improper methods for setting tariffs municipal councils reduce the proposed tariff based on their perception of is affordable to their constituenc</w:t>
      </w:r>
      <w:r w:rsidR="0067675C">
        <w:rPr>
          <w:rFonts w:ascii="Arial" w:hAnsi="Arial" w:cs="Arial"/>
          <w:bCs/>
          <w:sz w:val="22"/>
          <w:szCs w:val="22"/>
        </w:rPr>
        <w:t>ies.</w:t>
      </w:r>
    </w:p>
    <w:p w:rsidR="0067675C" w:rsidRDefault="0067675C" w:rsidP="00AB6294">
      <w:pPr>
        <w:pStyle w:val="ListParagraph"/>
        <w:tabs>
          <w:tab w:val="left" w:pos="432"/>
          <w:tab w:val="left" w:pos="864"/>
        </w:tabs>
        <w:spacing w:line="360" w:lineRule="auto"/>
        <w:rPr>
          <w:rFonts w:ascii="Arial" w:hAnsi="Arial" w:cs="Arial"/>
          <w:bCs/>
          <w:sz w:val="22"/>
          <w:szCs w:val="22"/>
        </w:rPr>
      </w:pPr>
    </w:p>
    <w:p w:rsidR="0067675C" w:rsidRDefault="0067675C" w:rsidP="00AB6294">
      <w:pPr>
        <w:pStyle w:val="ListParagraph"/>
        <w:tabs>
          <w:tab w:val="left" w:pos="432"/>
          <w:tab w:val="left" w:pos="864"/>
        </w:tabs>
        <w:spacing w:line="360" w:lineRule="auto"/>
        <w:rPr>
          <w:rFonts w:ascii="Arial" w:hAnsi="Arial" w:cs="Arial"/>
          <w:bCs/>
          <w:sz w:val="22"/>
          <w:szCs w:val="22"/>
        </w:rPr>
      </w:pPr>
      <w:r>
        <w:rPr>
          <w:rFonts w:ascii="Arial" w:hAnsi="Arial" w:cs="Arial"/>
          <w:bCs/>
          <w:sz w:val="22"/>
          <w:szCs w:val="22"/>
        </w:rPr>
        <w:t>Additionally, municipalities that have high distribution losses may also find it difficult to recover the cost of the service.</w:t>
      </w:r>
    </w:p>
    <w:p w:rsidR="00986B5D" w:rsidRPr="0067675C" w:rsidRDefault="0067675C" w:rsidP="005A21B1">
      <w:pPr>
        <w:spacing w:before="100" w:beforeAutospacing="1" w:after="100" w:afterAutospacing="1" w:line="360" w:lineRule="auto"/>
        <w:ind w:left="720" w:hanging="720"/>
        <w:jc w:val="both"/>
        <w:rPr>
          <w:rFonts w:ascii="Arial" w:hAnsi="Arial" w:cs="Arial"/>
          <w:bCs/>
          <w:sz w:val="22"/>
          <w:szCs w:val="22"/>
        </w:rPr>
      </w:pPr>
      <w:r w:rsidRPr="0067675C">
        <w:rPr>
          <w:rFonts w:ascii="Arial" w:hAnsi="Arial" w:cs="Arial"/>
          <w:i/>
          <w:sz w:val="22"/>
          <w:szCs w:val="22"/>
        </w:rPr>
        <w:t>(4)</w:t>
      </w:r>
      <w:r w:rsidRPr="0067675C">
        <w:rPr>
          <w:rFonts w:ascii="Arial" w:hAnsi="Arial" w:cs="Arial"/>
          <w:i/>
          <w:sz w:val="22"/>
          <w:szCs w:val="22"/>
        </w:rPr>
        <w:tab/>
      </w:r>
      <w:r w:rsidR="0052302F">
        <w:rPr>
          <w:rFonts w:ascii="Arial" w:hAnsi="Arial" w:cs="Arial"/>
          <w:bCs/>
          <w:sz w:val="22"/>
          <w:szCs w:val="22"/>
        </w:rPr>
        <w:t xml:space="preserve">No, it is enshrined in the municipal budget assessment process.  </w:t>
      </w:r>
      <w:r w:rsidR="00F07CA5" w:rsidRPr="0067675C">
        <w:rPr>
          <w:rFonts w:ascii="Arial" w:hAnsi="Arial" w:cs="Arial"/>
          <w:bCs/>
          <w:sz w:val="22"/>
          <w:szCs w:val="22"/>
        </w:rPr>
        <w:t xml:space="preserve">All the budgets of municipalities are assessed by National and Provincial Treasuries to determine whether the budget of the municipality is funded or not. </w:t>
      </w:r>
      <w:r w:rsidRPr="0067675C">
        <w:rPr>
          <w:rFonts w:ascii="Arial" w:hAnsi="Arial" w:cs="Arial"/>
          <w:bCs/>
          <w:sz w:val="22"/>
          <w:szCs w:val="22"/>
        </w:rPr>
        <w:t xml:space="preserve"> </w:t>
      </w:r>
      <w:r w:rsidR="00F07CA5" w:rsidRPr="0067675C">
        <w:rPr>
          <w:rFonts w:ascii="Arial" w:hAnsi="Arial" w:cs="Arial"/>
          <w:bCs/>
          <w:sz w:val="22"/>
          <w:szCs w:val="22"/>
        </w:rPr>
        <w:t>If the budget of a municipality is not funded National Treasury and Provincial Treasury determine the reasons why the budget is not funded and assess</w:t>
      </w:r>
      <w:r w:rsidRPr="0067675C">
        <w:rPr>
          <w:rFonts w:ascii="Arial" w:hAnsi="Arial" w:cs="Arial"/>
          <w:bCs/>
          <w:sz w:val="22"/>
          <w:szCs w:val="22"/>
        </w:rPr>
        <w:t>es</w:t>
      </w:r>
      <w:r w:rsidR="00F07CA5" w:rsidRPr="0067675C">
        <w:rPr>
          <w:rFonts w:ascii="Arial" w:hAnsi="Arial" w:cs="Arial"/>
          <w:bCs/>
          <w:sz w:val="22"/>
          <w:szCs w:val="22"/>
        </w:rPr>
        <w:t xml:space="preserve"> specifically whether the tariffs are cost reflective to cover all the expenditure.</w:t>
      </w:r>
      <w:r w:rsidRPr="0067675C">
        <w:rPr>
          <w:rFonts w:ascii="Arial" w:hAnsi="Arial" w:cs="Arial"/>
          <w:bCs/>
          <w:sz w:val="22"/>
          <w:szCs w:val="22"/>
        </w:rPr>
        <w:t xml:space="preserve"> </w:t>
      </w:r>
      <w:r w:rsidR="00F07CA5" w:rsidRPr="0067675C">
        <w:rPr>
          <w:rFonts w:ascii="Arial" w:hAnsi="Arial" w:cs="Arial"/>
          <w:bCs/>
          <w:sz w:val="22"/>
          <w:szCs w:val="22"/>
        </w:rPr>
        <w:t xml:space="preserve"> If tariffs are cost reflective then the tariffs will cover all the cost the render that service. </w:t>
      </w:r>
      <w:r w:rsidRPr="0067675C">
        <w:rPr>
          <w:rFonts w:ascii="Arial" w:hAnsi="Arial" w:cs="Arial"/>
          <w:bCs/>
          <w:sz w:val="22"/>
          <w:szCs w:val="22"/>
        </w:rPr>
        <w:t xml:space="preserve"> </w:t>
      </w:r>
      <w:r w:rsidR="00F07CA5" w:rsidRPr="0067675C">
        <w:rPr>
          <w:rFonts w:ascii="Arial" w:hAnsi="Arial" w:cs="Arial"/>
          <w:bCs/>
          <w:sz w:val="22"/>
          <w:szCs w:val="22"/>
        </w:rPr>
        <w:t>If the tariffs are not cost reflective then the municipality is advi</w:t>
      </w:r>
      <w:r w:rsidR="00986B5D" w:rsidRPr="0067675C">
        <w:rPr>
          <w:rFonts w:ascii="Arial" w:hAnsi="Arial" w:cs="Arial"/>
          <w:bCs/>
          <w:sz w:val="22"/>
          <w:szCs w:val="22"/>
        </w:rPr>
        <w:t>s</w:t>
      </w:r>
      <w:r w:rsidR="00F07CA5" w:rsidRPr="0067675C">
        <w:rPr>
          <w:rFonts w:ascii="Arial" w:hAnsi="Arial" w:cs="Arial"/>
          <w:bCs/>
          <w:sz w:val="22"/>
          <w:szCs w:val="22"/>
        </w:rPr>
        <w:t>ed to</w:t>
      </w:r>
      <w:r w:rsidR="00986B5D" w:rsidRPr="0067675C">
        <w:rPr>
          <w:rFonts w:ascii="Arial" w:hAnsi="Arial" w:cs="Arial"/>
          <w:bCs/>
          <w:sz w:val="22"/>
          <w:szCs w:val="22"/>
        </w:rPr>
        <w:t xml:space="preserve"> implement cost reflective tariffs and Provincial Treasuries will assist the municipality to implement such cost reflective tariffs.</w:t>
      </w:r>
    </w:p>
    <w:p w:rsidR="0067675C" w:rsidRDefault="0067675C" w:rsidP="0067675C">
      <w:pPr>
        <w:pStyle w:val="ListParagraph"/>
        <w:tabs>
          <w:tab w:val="left" w:pos="432"/>
          <w:tab w:val="left" w:pos="864"/>
        </w:tabs>
        <w:spacing w:line="360" w:lineRule="auto"/>
        <w:ind w:left="795"/>
        <w:jc w:val="both"/>
        <w:rPr>
          <w:rFonts w:ascii="Arial" w:hAnsi="Arial" w:cs="Arial"/>
          <w:bCs/>
          <w:sz w:val="22"/>
          <w:szCs w:val="22"/>
        </w:rPr>
      </w:pPr>
    </w:p>
    <w:p w:rsidR="00E85A4A" w:rsidRDefault="00E85A4A" w:rsidP="0067675C">
      <w:pPr>
        <w:pStyle w:val="ListParagraph"/>
        <w:tabs>
          <w:tab w:val="left" w:pos="432"/>
          <w:tab w:val="left" w:pos="864"/>
        </w:tabs>
        <w:spacing w:line="360" w:lineRule="auto"/>
        <w:ind w:left="795"/>
        <w:jc w:val="both"/>
        <w:rPr>
          <w:rFonts w:ascii="Arial" w:hAnsi="Arial" w:cs="Arial"/>
          <w:bCs/>
          <w:sz w:val="22"/>
          <w:szCs w:val="22"/>
        </w:rPr>
      </w:pPr>
      <w:r w:rsidRPr="0067675C">
        <w:rPr>
          <w:rFonts w:ascii="Arial" w:hAnsi="Arial" w:cs="Arial"/>
          <w:bCs/>
          <w:sz w:val="22"/>
          <w:szCs w:val="22"/>
        </w:rPr>
        <w:lastRenderedPageBreak/>
        <w:t xml:space="preserve">The assessments are done annually during the budget process which have resulted in the development of a tariff tool by National Treasury </w:t>
      </w:r>
      <w:r w:rsidR="00BE50FE" w:rsidRPr="0067675C">
        <w:rPr>
          <w:rFonts w:ascii="Arial" w:hAnsi="Arial" w:cs="Arial"/>
          <w:bCs/>
          <w:sz w:val="22"/>
          <w:szCs w:val="22"/>
        </w:rPr>
        <w:t xml:space="preserve">to address the issue </w:t>
      </w:r>
      <w:r w:rsidR="0067675C">
        <w:rPr>
          <w:rFonts w:ascii="Arial" w:hAnsi="Arial" w:cs="Arial"/>
          <w:bCs/>
          <w:sz w:val="22"/>
          <w:szCs w:val="22"/>
        </w:rPr>
        <w:t>of non-cost reflective tariffs.</w:t>
      </w:r>
    </w:p>
    <w:p w:rsidR="00752796" w:rsidRDefault="00752796" w:rsidP="0067675C">
      <w:pPr>
        <w:pStyle w:val="ListParagraph"/>
        <w:tabs>
          <w:tab w:val="left" w:pos="432"/>
          <w:tab w:val="left" w:pos="864"/>
        </w:tabs>
        <w:spacing w:line="360" w:lineRule="auto"/>
        <w:ind w:left="795"/>
        <w:jc w:val="both"/>
        <w:rPr>
          <w:rFonts w:ascii="Arial" w:hAnsi="Arial" w:cs="Arial"/>
          <w:bCs/>
          <w:sz w:val="22"/>
          <w:szCs w:val="22"/>
        </w:rPr>
      </w:pPr>
    </w:p>
    <w:p w:rsidR="00752796" w:rsidRDefault="00752796" w:rsidP="0067675C">
      <w:pPr>
        <w:pStyle w:val="ListParagraph"/>
        <w:tabs>
          <w:tab w:val="left" w:pos="432"/>
          <w:tab w:val="left" w:pos="864"/>
        </w:tabs>
        <w:spacing w:line="360" w:lineRule="auto"/>
        <w:ind w:left="795"/>
        <w:jc w:val="both"/>
        <w:rPr>
          <w:rFonts w:ascii="Arial" w:hAnsi="Arial" w:cs="Arial"/>
          <w:bCs/>
          <w:sz w:val="22"/>
          <w:szCs w:val="22"/>
        </w:rPr>
      </w:pPr>
      <w:r>
        <w:rPr>
          <w:rFonts w:ascii="Arial" w:hAnsi="Arial" w:cs="Arial"/>
          <w:bCs/>
          <w:sz w:val="22"/>
          <w:szCs w:val="22"/>
        </w:rPr>
        <w:t>In addition, the National Treasury issue two budget circulars annual.  These MFMA Budget Circulars can be obtained on the NT Website at the following link:</w:t>
      </w:r>
    </w:p>
    <w:p w:rsidR="00752796" w:rsidRDefault="008F38FB" w:rsidP="0067675C">
      <w:pPr>
        <w:pStyle w:val="ListParagraph"/>
        <w:tabs>
          <w:tab w:val="left" w:pos="432"/>
          <w:tab w:val="left" w:pos="864"/>
        </w:tabs>
        <w:spacing w:line="360" w:lineRule="auto"/>
        <w:ind w:left="795"/>
        <w:jc w:val="both"/>
        <w:rPr>
          <w:rFonts w:ascii="Arial" w:hAnsi="Arial" w:cs="Arial"/>
          <w:b/>
          <w:sz w:val="22"/>
          <w:szCs w:val="22"/>
          <w:u w:val="single"/>
        </w:rPr>
      </w:pPr>
      <w:hyperlink r:id="rId8" w:history="1">
        <w:r w:rsidR="00545EB2" w:rsidRPr="00A65117">
          <w:rPr>
            <w:rStyle w:val="Hyperlink"/>
            <w:rFonts w:ascii="Arial" w:hAnsi="Arial" w:cs="Arial"/>
            <w:b/>
            <w:sz w:val="22"/>
            <w:szCs w:val="22"/>
          </w:rPr>
          <w:t>http://mfma.treasury.gov.za/Circulars/Pages/default.aspx</w:t>
        </w:r>
      </w:hyperlink>
      <w:r w:rsidR="00D11AA6">
        <w:rPr>
          <w:rFonts w:ascii="Arial" w:hAnsi="Arial" w:cs="Arial"/>
          <w:b/>
          <w:sz w:val="22"/>
          <w:szCs w:val="22"/>
          <w:u w:val="single"/>
        </w:rPr>
        <w:t>.</w:t>
      </w:r>
    </w:p>
    <w:p w:rsidR="00D11AA6" w:rsidRDefault="00D11AA6" w:rsidP="0067675C">
      <w:pPr>
        <w:pStyle w:val="ListParagraph"/>
        <w:tabs>
          <w:tab w:val="left" w:pos="432"/>
          <w:tab w:val="left" w:pos="864"/>
        </w:tabs>
        <w:spacing w:line="360" w:lineRule="auto"/>
        <w:ind w:left="795"/>
        <w:jc w:val="both"/>
        <w:rPr>
          <w:rFonts w:ascii="Arial" w:hAnsi="Arial" w:cs="Arial"/>
          <w:b/>
          <w:sz w:val="22"/>
          <w:szCs w:val="22"/>
          <w:u w:val="single"/>
        </w:rPr>
      </w:pPr>
    </w:p>
    <w:p w:rsidR="00D11AA6" w:rsidRPr="00D11AA6" w:rsidRDefault="00D11AA6" w:rsidP="0067675C">
      <w:pPr>
        <w:pStyle w:val="ListParagraph"/>
        <w:tabs>
          <w:tab w:val="left" w:pos="432"/>
          <w:tab w:val="left" w:pos="864"/>
        </w:tabs>
        <w:spacing w:line="360" w:lineRule="auto"/>
        <w:ind w:left="795"/>
        <w:jc w:val="both"/>
        <w:rPr>
          <w:rFonts w:ascii="Arial" w:hAnsi="Arial" w:cs="Arial"/>
          <w:bCs/>
          <w:sz w:val="22"/>
          <w:szCs w:val="22"/>
        </w:rPr>
      </w:pPr>
      <w:r w:rsidRPr="00D11AA6">
        <w:rPr>
          <w:rFonts w:ascii="Arial" w:hAnsi="Arial" w:cs="Arial"/>
          <w:bCs/>
          <w:sz w:val="22"/>
          <w:szCs w:val="22"/>
        </w:rPr>
        <w:t xml:space="preserve">The Tools to assist municipalities with cost reflective traffic can </w:t>
      </w:r>
      <w:r>
        <w:rPr>
          <w:rFonts w:ascii="Arial" w:hAnsi="Arial" w:cs="Arial"/>
          <w:bCs/>
          <w:sz w:val="22"/>
          <w:szCs w:val="22"/>
        </w:rPr>
        <w:t>also be located on the National Treasury Website at the following link:</w:t>
      </w:r>
    </w:p>
    <w:p w:rsidR="00545EB2" w:rsidRDefault="00545EB2" w:rsidP="0067675C">
      <w:pPr>
        <w:pStyle w:val="ListParagraph"/>
        <w:tabs>
          <w:tab w:val="left" w:pos="432"/>
          <w:tab w:val="left" w:pos="864"/>
        </w:tabs>
        <w:spacing w:line="360" w:lineRule="auto"/>
        <w:ind w:left="795"/>
        <w:jc w:val="both"/>
        <w:rPr>
          <w:rFonts w:ascii="Arial" w:hAnsi="Arial" w:cs="Arial"/>
          <w:b/>
          <w:sz w:val="22"/>
          <w:szCs w:val="22"/>
          <w:u w:val="single"/>
        </w:rPr>
      </w:pPr>
    </w:p>
    <w:p w:rsidR="00545EB2" w:rsidRDefault="008F38FB" w:rsidP="0067675C">
      <w:pPr>
        <w:pStyle w:val="ListParagraph"/>
        <w:tabs>
          <w:tab w:val="left" w:pos="432"/>
          <w:tab w:val="left" w:pos="864"/>
        </w:tabs>
        <w:spacing w:line="360" w:lineRule="auto"/>
        <w:ind w:left="795"/>
        <w:jc w:val="both"/>
        <w:rPr>
          <w:rFonts w:ascii="Arial" w:hAnsi="Arial" w:cs="Arial"/>
          <w:b/>
          <w:sz w:val="22"/>
          <w:szCs w:val="22"/>
          <w:u w:val="single"/>
        </w:rPr>
      </w:pPr>
      <w:hyperlink r:id="rId9" w:history="1">
        <w:r w:rsidR="00D11AA6" w:rsidRPr="00A65117">
          <w:rPr>
            <w:rStyle w:val="Hyperlink"/>
            <w:rFonts w:ascii="Arial" w:hAnsi="Arial" w:cs="Arial"/>
            <w:b/>
            <w:sz w:val="22"/>
            <w:szCs w:val="22"/>
          </w:rPr>
          <w:t>http://mfma.treasury.gov.za/Circulars/Documents/Forms/AllItems.aspx?RootFolder=%2fCirculars%2fDocuments%2fBudget%20Circular%20No%2098&amp;FolderCTID=0x012000E772703726E2A8479752CF24A134692B</w:t>
        </w:r>
      </w:hyperlink>
    </w:p>
    <w:p w:rsidR="00D11AA6" w:rsidRPr="0067675C" w:rsidRDefault="00D11AA6" w:rsidP="0067675C">
      <w:pPr>
        <w:pStyle w:val="ListParagraph"/>
        <w:tabs>
          <w:tab w:val="left" w:pos="432"/>
          <w:tab w:val="left" w:pos="864"/>
        </w:tabs>
        <w:spacing w:line="360" w:lineRule="auto"/>
        <w:ind w:left="795"/>
        <w:jc w:val="both"/>
        <w:rPr>
          <w:rFonts w:ascii="Arial" w:hAnsi="Arial" w:cs="Arial"/>
          <w:b/>
          <w:sz w:val="22"/>
          <w:szCs w:val="22"/>
          <w:u w:val="single"/>
        </w:rPr>
      </w:pPr>
    </w:p>
    <w:p w:rsidR="00A6124C" w:rsidRDefault="00A6124C" w:rsidP="0067675C">
      <w:pPr>
        <w:tabs>
          <w:tab w:val="left" w:pos="432"/>
          <w:tab w:val="left" w:pos="864"/>
        </w:tabs>
        <w:spacing w:line="360" w:lineRule="auto"/>
        <w:jc w:val="both"/>
        <w:rPr>
          <w:rFonts w:ascii="Arial" w:hAnsi="Arial" w:cs="Arial"/>
          <w:b/>
          <w:sz w:val="22"/>
          <w:szCs w:val="22"/>
          <w:u w:val="single"/>
        </w:rPr>
      </w:pPr>
    </w:p>
    <w:p w:rsidR="0067675C" w:rsidRDefault="0067675C" w:rsidP="0067675C">
      <w:pPr>
        <w:tabs>
          <w:tab w:val="left" w:pos="432"/>
          <w:tab w:val="left" w:pos="864"/>
        </w:tabs>
        <w:spacing w:line="360" w:lineRule="auto"/>
        <w:jc w:val="both"/>
        <w:rPr>
          <w:rFonts w:ascii="Arial" w:hAnsi="Arial" w:cs="Arial"/>
          <w:b/>
          <w:sz w:val="22"/>
          <w:szCs w:val="22"/>
          <w:u w:val="single"/>
        </w:rPr>
      </w:pPr>
    </w:p>
    <w:p w:rsidR="0067675C" w:rsidRDefault="0067675C" w:rsidP="0067675C">
      <w:pPr>
        <w:tabs>
          <w:tab w:val="left" w:pos="432"/>
          <w:tab w:val="left" w:pos="864"/>
        </w:tabs>
        <w:spacing w:line="360" w:lineRule="auto"/>
        <w:jc w:val="both"/>
        <w:rPr>
          <w:rFonts w:ascii="Arial" w:hAnsi="Arial" w:cs="Arial"/>
          <w:b/>
          <w:sz w:val="22"/>
          <w:szCs w:val="22"/>
          <w:u w:val="single"/>
        </w:rPr>
      </w:pPr>
    </w:p>
    <w:p w:rsidR="0067675C" w:rsidRDefault="0067675C" w:rsidP="0067675C">
      <w:pPr>
        <w:tabs>
          <w:tab w:val="left" w:pos="432"/>
          <w:tab w:val="left" w:pos="864"/>
        </w:tabs>
        <w:spacing w:line="360" w:lineRule="auto"/>
        <w:jc w:val="both"/>
        <w:rPr>
          <w:rFonts w:ascii="Arial" w:hAnsi="Arial" w:cs="Arial"/>
          <w:b/>
          <w:sz w:val="22"/>
          <w:szCs w:val="22"/>
          <w:u w:val="single"/>
        </w:rPr>
      </w:pPr>
    </w:p>
    <w:p w:rsidR="0067675C" w:rsidRDefault="0067675C" w:rsidP="0067675C">
      <w:pPr>
        <w:tabs>
          <w:tab w:val="left" w:pos="432"/>
          <w:tab w:val="left" w:pos="864"/>
        </w:tabs>
        <w:spacing w:line="360" w:lineRule="auto"/>
        <w:jc w:val="both"/>
        <w:rPr>
          <w:rFonts w:ascii="Arial" w:hAnsi="Arial" w:cs="Arial"/>
          <w:b/>
          <w:sz w:val="22"/>
          <w:szCs w:val="22"/>
          <w:u w:val="single"/>
        </w:rPr>
      </w:pPr>
    </w:p>
    <w:p w:rsidR="0067675C" w:rsidRDefault="0067675C" w:rsidP="0067675C">
      <w:pPr>
        <w:tabs>
          <w:tab w:val="left" w:pos="432"/>
          <w:tab w:val="left" w:pos="864"/>
        </w:tabs>
        <w:spacing w:line="360" w:lineRule="auto"/>
        <w:jc w:val="both"/>
        <w:rPr>
          <w:rFonts w:ascii="Arial" w:hAnsi="Arial" w:cs="Arial"/>
          <w:b/>
          <w:sz w:val="22"/>
          <w:szCs w:val="22"/>
          <w:u w:val="single"/>
        </w:rPr>
      </w:pPr>
    </w:p>
    <w:p w:rsidR="0067675C" w:rsidRDefault="0067675C" w:rsidP="0067675C">
      <w:pPr>
        <w:tabs>
          <w:tab w:val="left" w:pos="432"/>
          <w:tab w:val="left" w:pos="864"/>
        </w:tabs>
        <w:spacing w:line="360" w:lineRule="auto"/>
        <w:jc w:val="both"/>
        <w:rPr>
          <w:rFonts w:ascii="Arial" w:hAnsi="Arial" w:cs="Arial"/>
          <w:b/>
          <w:sz w:val="22"/>
          <w:szCs w:val="22"/>
          <w:u w:val="single"/>
        </w:rPr>
      </w:pPr>
    </w:p>
    <w:p w:rsidR="0067675C" w:rsidRDefault="0067675C" w:rsidP="0067675C">
      <w:pPr>
        <w:tabs>
          <w:tab w:val="left" w:pos="432"/>
          <w:tab w:val="left" w:pos="864"/>
        </w:tabs>
        <w:spacing w:line="360" w:lineRule="auto"/>
        <w:jc w:val="both"/>
        <w:rPr>
          <w:rFonts w:ascii="Arial" w:hAnsi="Arial" w:cs="Arial"/>
          <w:b/>
          <w:sz w:val="22"/>
          <w:szCs w:val="22"/>
          <w:u w:val="single"/>
        </w:rPr>
      </w:pPr>
    </w:p>
    <w:p w:rsidR="0067675C" w:rsidRDefault="0067675C" w:rsidP="0067675C">
      <w:pPr>
        <w:tabs>
          <w:tab w:val="left" w:pos="432"/>
          <w:tab w:val="left" w:pos="864"/>
        </w:tabs>
        <w:spacing w:line="360" w:lineRule="auto"/>
        <w:jc w:val="both"/>
        <w:rPr>
          <w:rFonts w:ascii="Arial" w:hAnsi="Arial" w:cs="Arial"/>
          <w:b/>
          <w:sz w:val="22"/>
          <w:szCs w:val="22"/>
          <w:u w:val="single"/>
        </w:rPr>
      </w:pPr>
    </w:p>
    <w:p w:rsidR="0067675C" w:rsidRDefault="0067675C" w:rsidP="0067675C">
      <w:pPr>
        <w:tabs>
          <w:tab w:val="left" w:pos="432"/>
          <w:tab w:val="left" w:pos="864"/>
        </w:tabs>
        <w:spacing w:line="360" w:lineRule="auto"/>
        <w:jc w:val="both"/>
        <w:rPr>
          <w:rFonts w:ascii="Arial" w:hAnsi="Arial" w:cs="Arial"/>
          <w:b/>
          <w:sz w:val="22"/>
          <w:szCs w:val="22"/>
          <w:u w:val="single"/>
        </w:rPr>
      </w:pPr>
    </w:p>
    <w:p w:rsidR="0067675C" w:rsidRDefault="0067675C" w:rsidP="0067675C">
      <w:pPr>
        <w:tabs>
          <w:tab w:val="left" w:pos="432"/>
          <w:tab w:val="left" w:pos="864"/>
        </w:tabs>
        <w:spacing w:line="360" w:lineRule="auto"/>
        <w:jc w:val="both"/>
        <w:rPr>
          <w:rFonts w:ascii="Arial" w:hAnsi="Arial" w:cs="Arial"/>
          <w:b/>
          <w:sz w:val="22"/>
          <w:szCs w:val="22"/>
          <w:u w:val="single"/>
        </w:rPr>
      </w:pPr>
    </w:p>
    <w:p w:rsidR="0067675C" w:rsidRDefault="0067675C" w:rsidP="0067675C">
      <w:pPr>
        <w:tabs>
          <w:tab w:val="left" w:pos="432"/>
          <w:tab w:val="left" w:pos="864"/>
        </w:tabs>
        <w:spacing w:line="360" w:lineRule="auto"/>
        <w:jc w:val="both"/>
        <w:rPr>
          <w:rFonts w:ascii="Arial" w:hAnsi="Arial" w:cs="Arial"/>
          <w:b/>
          <w:sz w:val="22"/>
          <w:szCs w:val="22"/>
          <w:u w:val="single"/>
        </w:rPr>
      </w:pPr>
    </w:p>
    <w:p w:rsidR="00C401F8" w:rsidRPr="00553EDC" w:rsidRDefault="00C401F8" w:rsidP="00437441">
      <w:pPr>
        <w:rPr>
          <w:rFonts w:ascii="Arial" w:hAnsi="Arial" w:cs="Arial"/>
          <w:b/>
          <w:sz w:val="22"/>
          <w:szCs w:val="22"/>
        </w:rPr>
      </w:pPr>
    </w:p>
    <w:sectPr w:rsidR="00C401F8" w:rsidRPr="00553EDC"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3B1" w:rsidRDefault="00F573B1" w:rsidP="00380E88">
      <w:r>
        <w:separator/>
      </w:r>
    </w:p>
  </w:endnote>
  <w:endnote w:type="continuationSeparator" w:id="0">
    <w:p w:rsidR="00F573B1" w:rsidRDefault="00F573B1" w:rsidP="00380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3B1" w:rsidRDefault="00F573B1" w:rsidP="00380E88">
      <w:r>
        <w:separator/>
      </w:r>
    </w:p>
  </w:footnote>
  <w:footnote w:type="continuationSeparator" w:id="0">
    <w:p w:rsidR="00F573B1" w:rsidRDefault="00F573B1"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43DAC"/>
    <w:multiLevelType w:val="hybridMultilevel"/>
    <w:tmpl w:val="5FEAF8B2"/>
    <w:lvl w:ilvl="0" w:tplc="E2C6498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1062301F"/>
    <w:multiLevelType w:val="hybridMultilevel"/>
    <w:tmpl w:val="254A0D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4">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6">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1">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8"/>
  </w:num>
  <w:num w:numId="2">
    <w:abstractNumId w:val="9"/>
  </w:num>
  <w:num w:numId="3">
    <w:abstractNumId w:val="6"/>
  </w:num>
  <w:num w:numId="4">
    <w:abstractNumId w:val="4"/>
  </w:num>
  <w:num w:numId="5">
    <w:abstractNumId w:val="11"/>
  </w:num>
  <w:num w:numId="6">
    <w:abstractNumId w:val="3"/>
  </w:num>
  <w:num w:numId="7">
    <w:abstractNumId w:val="3"/>
  </w:num>
  <w:num w:numId="8">
    <w:abstractNumId w:val="12"/>
  </w:num>
  <w:num w:numId="9">
    <w:abstractNumId w:val="2"/>
  </w:num>
  <w:num w:numId="10">
    <w:abstractNumId w:val="5"/>
  </w:num>
  <w:num w:numId="11">
    <w:abstractNumId w:val="10"/>
  </w:num>
  <w:num w:numId="12">
    <w:abstractNumId w:val="7"/>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063E28"/>
    <w:rsid w:val="000054AE"/>
    <w:rsid w:val="00011016"/>
    <w:rsid w:val="00012A82"/>
    <w:rsid w:val="00016A41"/>
    <w:rsid w:val="00020C04"/>
    <w:rsid w:val="000235AD"/>
    <w:rsid w:val="00023BC3"/>
    <w:rsid w:val="00025170"/>
    <w:rsid w:val="00026160"/>
    <w:rsid w:val="0002634B"/>
    <w:rsid w:val="000319D5"/>
    <w:rsid w:val="00037D89"/>
    <w:rsid w:val="00041437"/>
    <w:rsid w:val="00042E4A"/>
    <w:rsid w:val="00053303"/>
    <w:rsid w:val="0005383F"/>
    <w:rsid w:val="00060E09"/>
    <w:rsid w:val="00063E28"/>
    <w:rsid w:val="00070924"/>
    <w:rsid w:val="0007655C"/>
    <w:rsid w:val="0007743C"/>
    <w:rsid w:val="00082DDF"/>
    <w:rsid w:val="0008596C"/>
    <w:rsid w:val="000A3C32"/>
    <w:rsid w:val="000A5567"/>
    <w:rsid w:val="000A57B1"/>
    <w:rsid w:val="000B16E9"/>
    <w:rsid w:val="000B51CC"/>
    <w:rsid w:val="000B555E"/>
    <w:rsid w:val="000C2BEF"/>
    <w:rsid w:val="000C3917"/>
    <w:rsid w:val="000C48D8"/>
    <w:rsid w:val="000D5DF7"/>
    <w:rsid w:val="000D72AC"/>
    <w:rsid w:val="000E1B36"/>
    <w:rsid w:val="000E38E0"/>
    <w:rsid w:val="000E3AD1"/>
    <w:rsid w:val="000F3B14"/>
    <w:rsid w:val="000F5178"/>
    <w:rsid w:val="00100C7F"/>
    <w:rsid w:val="00100CC2"/>
    <w:rsid w:val="00110946"/>
    <w:rsid w:val="00122C88"/>
    <w:rsid w:val="00123B87"/>
    <w:rsid w:val="00130348"/>
    <w:rsid w:val="00132CAF"/>
    <w:rsid w:val="00132CF0"/>
    <w:rsid w:val="001433AE"/>
    <w:rsid w:val="0014441E"/>
    <w:rsid w:val="00147193"/>
    <w:rsid w:val="0015727B"/>
    <w:rsid w:val="00170407"/>
    <w:rsid w:val="00172C3D"/>
    <w:rsid w:val="00183EB5"/>
    <w:rsid w:val="00197576"/>
    <w:rsid w:val="001B0917"/>
    <w:rsid w:val="001B1E0F"/>
    <w:rsid w:val="001B7F2A"/>
    <w:rsid w:val="001C1E62"/>
    <w:rsid w:val="001D24BA"/>
    <w:rsid w:val="001D267B"/>
    <w:rsid w:val="001D4937"/>
    <w:rsid w:val="001D6DE9"/>
    <w:rsid w:val="001E1132"/>
    <w:rsid w:val="001E3FB5"/>
    <w:rsid w:val="001E6902"/>
    <w:rsid w:val="001F4B50"/>
    <w:rsid w:val="001F7560"/>
    <w:rsid w:val="002065BA"/>
    <w:rsid w:val="00207912"/>
    <w:rsid w:val="00223863"/>
    <w:rsid w:val="0022502D"/>
    <w:rsid w:val="00230BF6"/>
    <w:rsid w:val="002314BC"/>
    <w:rsid w:val="002372AA"/>
    <w:rsid w:val="00251791"/>
    <w:rsid w:val="00260251"/>
    <w:rsid w:val="00262F05"/>
    <w:rsid w:val="0027436F"/>
    <w:rsid w:val="002855CE"/>
    <w:rsid w:val="00285EA1"/>
    <w:rsid w:val="0028635F"/>
    <w:rsid w:val="002867DD"/>
    <w:rsid w:val="002927CD"/>
    <w:rsid w:val="00292908"/>
    <w:rsid w:val="002A4157"/>
    <w:rsid w:val="002B3B25"/>
    <w:rsid w:val="002B7345"/>
    <w:rsid w:val="002D104B"/>
    <w:rsid w:val="002D10B3"/>
    <w:rsid w:val="002D2A4C"/>
    <w:rsid w:val="002D499A"/>
    <w:rsid w:val="002E4AA0"/>
    <w:rsid w:val="002F19F9"/>
    <w:rsid w:val="002F6E86"/>
    <w:rsid w:val="003005D2"/>
    <w:rsid w:val="003055B0"/>
    <w:rsid w:val="00326CF2"/>
    <w:rsid w:val="003421BD"/>
    <w:rsid w:val="00344553"/>
    <w:rsid w:val="00345531"/>
    <w:rsid w:val="00346695"/>
    <w:rsid w:val="00351BF5"/>
    <w:rsid w:val="00354BA4"/>
    <w:rsid w:val="003707A7"/>
    <w:rsid w:val="00374DCE"/>
    <w:rsid w:val="0037795E"/>
    <w:rsid w:val="00380E88"/>
    <w:rsid w:val="00393919"/>
    <w:rsid w:val="003A5B00"/>
    <w:rsid w:val="003A6BD5"/>
    <w:rsid w:val="003B0336"/>
    <w:rsid w:val="003B0A2D"/>
    <w:rsid w:val="003D0E83"/>
    <w:rsid w:val="003D13F2"/>
    <w:rsid w:val="003D5A20"/>
    <w:rsid w:val="003E03B4"/>
    <w:rsid w:val="003E2711"/>
    <w:rsid w:val="003E6A8B"/>
    <w:rsid w:val="003F1329"/>
    <w:rsid w:val="003F6A56"/>
    <w:rsid w:val="00413ABE"/>
    <w:rsid w:val="00413C95"/>
    <w:rsid w:val="00422EC6"/>
    <w:rsid w:val="0042645C"/>
    <w:rsid w:val="00427ECA"/>
    <w:rsid w:val="0043065E"/>
    <w:rsid w:val="00435EA2"/>
    <w:rsid w:val="00437441"/>
    <w:rsid w:val="004515B7"/>
    <w:rsid w:val="00453CF1"/>
    <w:rsid w:val="00463FC0"/>
    <w:rsid w:val="0046713E"/>
    <w:rsid w:val="004709BD"/>
    <w:rsid w:val="00472D86"/>
    <w:rsid w:val="00473446"/>
    <w:rsid w:val="00480D1F"/>
    <w:rsid w:val="004819D0"/>
    <w:rsid w:val="00484737"/>
    <w:rsid w:val="00485B2E"/>
    <w:rsid w:val="00485F09"/>
    <w:rsid w:val="00496D69"/>
    <w:rsid w:val="004A078E"/>
    <w:rsid w:val="004A7866"/>
    <w:rsid w:val="004B1526"/>
    <w:rsid w:val="004C0E9B"/>
    <w:rsid w:val="004C0FCD"/>
    <w:rsid w:val="004C57A4"/>
    <w:rsid w:val="004D3BF2"/>
    <w:rsid w:val="004D3D5A"/>
    <w:rsid w:val="004D51F0"/>
    <w:rsid w:val="004D568A"/>
    <w:rsid w:val="004E3098"/>
    <w:rsid w:val="004E6E7D"/>
    <w:rsid w:val="004F43FB"/>
    <w:rsid w:val="005017FF"/>
    <w:rsid w:val="00503CF8"/>
    <w:rsid w:val="005062A3"/>
    <w:rsid w:val="0051062B"/>
    <w:rsid w:val="005141B3"/>
    <w:rsid w:val="00522B65"/>
    <w:rsid w:val="0052302F"/>
    <w:rsid w:val="00532BB4"/>
    <w:rsid w:val="0053398C"/>
    <w:rsid w:val="00533BBC"/>
    <w:rsid w:val="00533C35"/>
    <w:rsid w:val="00545EB2"/>
    <w:rsid w:val="00547158"/>
    <w:rsid w:val="0055290F"/>
    <w:rsid w:val="00553EDC"/>
    <w:rsid w:val="00566101"/>
    <w:rsid w:val="005706F1"/>
    <w:rsid w:val="00574E19"/>
    <w:rsid w:val="005801E0"/>
    <w:rsid w:val="005853FD"/>
    <w:rsid w:val="005A21B1"/>
    <w:rsid w:val="005A3443"/>
    <w:rsid w:val="005A4B7A"/>
    <w:rsid w:val="005B6F0A"/>
    <w:rsid w:val="005D0154"/>
    <w:rsid w:val="005E21D9"/>
    <w:rsid w:val="005E32E0"/>
    <w:rsid w:val="005E415D"/>
    <w:rsid w:val="005F05C1"/>
    <w:rsid w:val="005F11A2"/>
    <w:rsid w:val="005F6B76"/>
    <w:rsid w:val="0061096F"/>
    <w:rsid w:val="00613FC6"/>
    <w:rsid w:val="006239F1"/>
    <w:rsid w:val="00624D20"/>
    <w:rsid w:val="0062770E"/>
    <w:rsid w:val="00631CD4"/>
    <w:rsid w:val="00641158"/>
    <w:rsid w:val="0064275F"/>
    <w:rsid w:val="00642B16"/>
    <w:rsid w:val="0064512A"/>
    <w:rsid w:val="00646E7C"/>
    <w:rsid w:val="00647EF2"/>
    <w:rsid w:val="00651616"/>
    <w:rsid w:val="00653A85"/>
    <w:rsid w:val="00666668"/>
    <w:rsid w:val="00675635"/>
    <w:rsid w:val="0067675C"/>
    <w:rsid w:val="00685058"/>
    <w:rsid w:val="00685F0E"/>
    <w:rsid w:val="00687D9E"/>
    <w:rsid w:val="00691F8F"/>
    <w:rsid w:val="00693A64"/>
    <w:rsid w:val="006951C6"/>
    <w:rsid w:val="006B61B0"/>
    <w:rsid w:val="006C2D5C"/>
    <w:rsid w:val="006D1766"/>
    <w:rsid w:val="006D1B36"/>
    <w:rsid w:val="006D2C61"/>
    <w:rsid w:val="006D2F61"/>
    <w:rsid w:val="006D39E9"/>
    <w:rsid w:val="006E2B34"/>
    <w:rsid w:val="007068B5"/>
    <w:rsid w:val="007075D0"/>
    <w:rsid w:val="007118EA"/>
    <w:rsid w:val="00712545"/>
    <w:rsid w:val="00712E95"/>
    <w:rsid w:val="00726A9C"/>
    <w:rsid w:val="007359BF"/>
    <w:rsid w:val="00737375"/>
    <w:rsid w:val="00743F26"/>
    <w:rsid w:val="00751942"/>
    <w:rsid w:val="00751A1E"/>
    <w:rsid w:val="00752796"/>
    <w:rsid w:val="007540E0"/>
    <w:rsid w:val="007544A8"/>
    <w:rsid w:val="0076668B"/>
    <w:rsid w:val="007749D9"/>
    <w:rsid w:val="00780F57"/>
    <w:rsid w:val="00783E1A"/>
    <w:rsid w:val="0079022D"/>
    <w:rsid w:val="007914E0"/>
    <w:rsid w:val="0079284D"/>
    <w:rsid w:val="00794436"/>
    <w:rsid w:val="00796F5E"/>
    <w:rsid w:val="007A32AF"/>
    <w:rsid w:val="007A78C0"/>
    <w:rsid w:val="007B1BA1"/>
    <w:rsid w:val="007C3B62"/>
    <w:rsid w:val="007C44DF"/>
    <w:rsid w:val="007C4690"/>
    <w:rsid w:val="007C579E"/>
    <w:rsid w:val="007C5A36"/>
    <w:rsid w:val="007D25DF"/>
    <w:rsid w:val="007D4060"/>
    <w:rsid w:val="007E56A2"/>
    <w:rsid w:val="007F18AA"/>
    <w:rsid w:val="007F5C89"/>
    <w:rsid w:val="00800B54"/>
    <w:rsid w:val="00803AC4"/>
    <w:rsid w:val="00807B52"/>
    <w:rsid w:val="00811367"/>
    <w:rsid w:val="00813FF0"/>
    <w:rsid w:val="00814CE4"/>
    <w:rsid w:val="008223D4"/>
    <w:rsid w:val="008270A1"/>
    <w:rsid w:val="008321A4"/>
    <w:rsid w:val="008337F4"/>
    <w:rsid w:val="0084121D"/>
    <w:rsid w:val="00852DC3"/>
    <w:rsid w:val="008600E0"/>
    <w:rsid w:val="008631A7"/>
    <w:rsid w:val="00866056"/>
    <w:rsid w:val="00876CBB"/>
    <w:rsid w:val="008779EA"/>
    <w:rsid w:val="00880EA8"/>
    <w:rsid w:val="0088688A"/>
    <w:rsid w:val="00891265"/>
    <w:rsid w:val="00893761"/>
    <w:rsid w:val="00897498"/>
    <w:rsid w:val="00897F0B"/>
    <w:rsid w:val="008A25B9"/>
    <w:rsid w:val="008A3396"/>
    <w:rsid w:val="008A4EBA"/>
    <w:rsid w:val="008A53E5"/>
    <w:rsid w:val="008C0D4C"/>
    <w:rsid w:val="008C2559"/>
    <w:rsid w:val="008C2974"/>
    <w:rsid w:val="008E01C3"/>
    <w:rsid w:val="008E3D62"/>
    <w:rsid w:val="008E4142"/>
    <w:rsid w:val="008F21BE"/>
    <w:rsid w:val="008F2375"/>
    <w:rsid w:val="008F38FB"/>
    <w:rsid w:val="008F7690"/>
    <w:rsid w:val="00905110"/>
    <w:rsid w:val="00910B58"/>
    <w:rsid w:val="00911717"/>
    <w:rsid w:val="009163A5"/>
    <w:rsid w:val="00917C44"/>
    <w:rsid w:val="009203A2"/>
    <w:rsid w:val="00933C7B"/>
    <w:rsid w:val="0093680D"/>
    <w:rsid w:val="009508F2"/>
    <w:rsid w:val="00950F95"/>
    <w:rsid w:val="00953363"/>
    <w:rsid w:val="0096007E"/>
    <w:rsid w:val="00960B82"/>
    <w:rsid w:val="00972601"/>
    <w:rsid w:val="0097786E"/>
    <w:rsid w:val="00977E9D"/>
    <w:rsid w:val="00986B5D"/>
    <w:rsid w:val="00986C1B"/>
    <w:rsid w:val="00987BC9"/>
    <w:rsid w:val="0099170A"/>
    <w:rsid w:val="009A18A7"/>
    <w:rsid w:val="009C45D6"/>
    <w:rsid w:val="009C72B2"/>
    <w:rsid w:val="009E1AB2"/>
    <w:rsid w:val="009E24E9"/>
    <w:rsid w:val="009F1041"/>
    <w:rsid w:val="009F2415"/>
    <w:rsid w:val="009F480A"/>
    <w:rsid w:val="009F5278"/>
    <w:rsid w:val="00A02200"/>
    <w:rsid w:val="00A04C6D"/>
    <w:rsid w:val="00A15D3C"/>
    <w:rsid w:val="00A1736D"/>
    <w:rsid w:val="00A239C3"/>
    <w:rsid w:val="00A23A3E"/>
    <w:rsid w:val="00A249CF"/>
    <w:rsid w:val="00A337C8"/>
    <w:rsid w:val="00A352EA"/>
    <w:rsid w:val="00A359DB"/>
    <w:rsid w:val="00A45496"/>
    <w:rsid w:val="00A45FE5"/>
    <w:rsid w:val="00A51431"/>
    <w:rsid w:val="00A525F0"/>
    <w:rsid w:val="00A55CB3"/>
    <w:rsid w:val="00A566A2"/>
    <w:rsid w:val="00A5731A"/>
    <w:rsid w:val="00A60DDB"/>
    <w:rsid w:val="00A6124C"/>
    <w:rsid w:val="00A612ED"/>
    <w:rsid w:val="00A677C3"/>
    <w:rsid w:val="00A72B9B"/>
    <w:rsid w:val="00A84063"/>
    <w:rsid w:val="00A952EA"/>
    <w:rsid w:val="00AA4ED9"/>
    <w:rsid w:val="00AB5748"/>
    <w:rsid w:val="00AB5B28"/>
    <w:rsid w:val="00AB6294"/>
    <w:rsid w:val="00AD00CE"/>
    <w:rsid w:val="00AD1B6E"/>
    <w:rsid w:val="00AD5C9B"/>
    <w:rsid w:val="00AE07DE"/>
    <w:rsid w:val="00AE403B"/>
    <w:rsid w:val="00AF5439"/>
    <w:rsid w:val="00B03AF4"/>
    <w:rsid w:val="00B03DD6"/>
    <w:rsid w:val="00B1562B"/>
    <w:rsid w:val="00B20E37"/>
    <w:rsid w:val="00B31AAE"/>
    <w:rsid w:val="00B33866"/>
    <w:rsid w:val="00B35E0C"/>
    <w:rsid w:val="00B447E6"/>
    <w:rsid w:val="00B53E8E"/>
    <w:rsid w:val="00B57527"/>
    <w:rsid w:val="00B62882"/>
    <w:rsid w:val="00B65F8F"/>
    <w:rsid w:val="00B70C7B"/>
    <w:rsid w:val="00B716A6"/>
    <w:rsid w:val="00B75BBC"/>
    <w:rsid w:val="00B76831"/>
    <w:rsid w:val="00B76B61"/>
    <w:rsid w:val="00B77F67"/>
    <w:rsid w:val="00B81176"/>
    <w:rsid w:val="00B83E8B"/>
    <w:rsid w:val="00B913C7"/>
    <w:rsid w:val="00B95452"/>
    <w:rsid w:val="00B96B34"/>
    <w:rsid w:val="00BA517C"/>
    <w:rsid w:val="00BA5C4D"/>
    <w:rsid w:val="00BB1F44"/>
    <w:rsid w:val="00BB333E"/>
    <w:rsid w:val="00BB416B"/>
    <w:rsid w:val="00BC0A3B"/>
    <w:rsid w:val="00BC3150"/>
    <w:rsid w:val="00BC4BEA"/>
    <w:rsid w:val="00BC5A3F"/>
    <w:rsid w:val="00BD31C6"/>
    <w:rsid w:val="00BE50FE"/>
    <w:rsid w:val="00BE533B"/>
    <w:rsid w:val="00C06302"/>
    <w:rsid w:val="00C223DB"/>
    <w:rsid w:val="00C25C7E"/>
    <w:rsid w:val="00C26CCD"/>
    <w:rsid w:val="00C312EA"/>
    <w:rsid w:val="00C32942"/>
    <w:rsid w:val="00C3410D"/>
    <w:rsid w:val="00C375AF"/>
    <w:rsid w:val="00C401F8"/>
    <w:rsid w:val="00C41105"/>
    <w:rsid w:val="00C44C35"/>
    <w:rsid w:val="00C472D6"/>
    <w:rsid w:val="00C526D5"/>
    <w:rsid w:val="00C5539E"/>
    <w:rsid w:val="00C56D83"/>
    <w:rsid w:val="00C60822"/>
    <w:rsid w:val="00C60A55"/>
    <w:rsid w:val="00C61072"/>
    <w:rsid w:val="00C65A57"/>
    <w:rsid w:val="00C77F83"/>
    <w:rsid w:val="00C8485F"/>
    <w:rsid w:val="00C87C5C"/>
    <w:rsid w:val="00C905A7"/>
    <w:rsid w:val="00CB034C"/>
    <w:rsid w:val="00CB4FDB"/>
    <w:rsid w:val="00CB51AD"/>
    <w:rsid w:val="00CC2F3E"/>
    <w:rsid w:val="00CC7673"/>
    <w:rsid w:val="00D01E04"/>
    <w:rsid w:val="00D05765"/>
    <w:rsid w:val="00D11AA6"/>
    <w:rsid w:val="00D1433D"/>
    <w:rsid w:val="00D14A40"/>
    <w:rsid w:val="00D17D13"/>
    <w:rsid w:val="00D20E78"/>
    <w:rsid w:val="00D20F25"/>
    <w:rsid w:val="00D2724B"/>
    <w:rsid w:val="00D332C0"/>
    <w:rsid w:val="00D3397E"/>
    <w:rsid w:val="00D3403D"/>
    <w:rsid w:val="00D34050"/>
    <w:rsid w:val="00D363B6"/>
    <w:rsid w:val="00D37422"/>
    <w:rsid w:val="00D46E69"/>
    <w:rsid w:val="00D61422"/>
    <w:rsid w:val="00D632AE"/>
    <w:rsid w:val="00D74F80"/>
    <w:rsid w:val="00D761DC"/>
    <w:rsid w:val="00DB2463"/>
    <w:rsid w:val="00DB2CBC"/>
    <w:rsid w:val="00DC769E"/>
    <w:rsid w:val="00DC76EF"/>
    <w:rsid w:val="00DD0F3E"/>
    <w:rsid w:val="00DD2A0D"/>
    <w:rsid w:val="00DD5296"/>
    <w:rsid w:val="00DE122E"/>
    <w:rsid w:val="00DE3CBB"/>
    <w:rsid w:val="00DE76CB"/>
    <w:rsid w:val="00DF0D26"/>
    <w:rsid w:val="00DF4200"/>
    <w:rsid w:val="00DF746E"/>
    <w:rsid w:val="00DF7D10"/>
    <w:rsid w:val="00E01FF6"/>
    <w:rsid w:val="00E0626A"/>
    <w:rsid w:val="00E103FB"/>
    <w:rsid w:val="00E150D2"/>
    <w:rsid w:val="00E1520C"/>
    <w:rsid w:val="00E215F4"/>
    <w:rsid w:val="00E35140"/>
    <w:rsid w:val="00E359AC"/>
    <w:rsid w:val="00E37A36"/>
    <w:rsid w:val="00E40DF9"/>
    <w:rsid w:val="00E42AEE"/>
    <w:rsid w:val="00E43A5D"/>
    <w:rsid w:val="00E533D0"/>
    <w:rsid w:val="00E55071"/>
    <w:rsid w:val="00E60EE1"/>
    <w:rsid w:val="00E72F99"/>
    <w:rsid w:val="00E76B94"/>
    <w:rsid w:val="00E77DF6"/>
    <w:rsid w:val="00E8352B"/>
    <w:rsid w:val="00E85A4A"/>
    <w:rsid w:val="00E938DE"/>
    <w:rsid w:val="00EA468F"/>
    <w:rsid w:val="00EA6A49"/>
    <w:rsid w:val="00EA792E"/>
    <w:rsid w:val="00EB04E2"/>
    <w:rsid w:val="00EC21DD"/>
    <w:rsid w:val="00EC2565"/>
    <w:rsid w:val="00EC347E"/>
    <w:rsid w:val="00EC4BF6"/>
    <w:rsid w:val="00ED1050"/>
    <w:rsid w:val="00ED3A3C"/>
    <w:rsid w:val="00EE0C94"/>
    <w:rsid w:val="00EE7DD6"/>
    <w:rsid w:val="00EF5BB4"/>
    <w:rsid w:val="00F03C60"/>
    <w:rsid w:val="00F04D43"/>
    <w:rsid w:val="00F05CB1"/>
    <w:rsid w:val="00F07CA5"/>
    <w:rsid w:val="00F201B8"/>
    <w:rsid w:val="00F33FD4"/>
    <w:rsid w:val="00F36709"/>
    <w:rsid w:val="00F4189C"/>
    <w:rsid w:val="00F41D88"/>
    <w:rsid w:val="00F47FDD"/>
    <w:rsid w:val="00F51C17"/>
    <w:rsid w:val="00F5571A"/>
    <w:rsid w:val="00F573B1"/>
    <w:rsid w:val="00F6058B"/>
    <w:rsid w:val="00F65949"/>
    <w:rsid w:val="00F673A7"/>
    <w:rsid w:val="00F70594"/>
    <w:rsid w:val="00F754AB"/>
    <w:rsid w:val="00F76106"/>
    <w:rsid w:val="00F8147B"/>
    <w:rsid w:val="00F84E2A"/>
    <w:rsid w:val="00F87EA6"/>
    <w:rsid w:val="00F903C3"/>
    <w:rsid w:val="00FB0ABC"/>
    <w:rsid w:val="00FB5217"/>
    <w:rsid w:val="00FC2064"/>
    <w:rsid w:val="00FC2209"/>
    <w:rsid w:val="00FC224A"/>
    <w:rsid w:val="00FC4E03"/>
    <w:rsid w:val="00FD2E66"/>
    <w:rsid w:val="00FD595E"/>
    <w:rsid w:val="00FE4A54"/>
    <w:rsid w:val="00FE6729"/>
    <w:rsid w:val="00FE6F3D"/>
    <w:rsid w:val="00FF2914"/>
    <w:rsid w:val="00FF362C"/>
    <w:rsid w:val="00FF4A2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294"/>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unhideWhenUsed/>
    <w:rsid w:val="00FF4A29"/>
    <w:rPr>
      <w:color w:val="0000FF" w:themeColor="hyperlink"/>
      <w:u w:val="single"/>
    </w:rPr>
  </w:style>
  <w:style w:type="character" w:customStyle="1" w:styleId="UnresolvedMention1">
    <w:name w:val="Unresolved Mention1"/>
    <w:basedOn w:val="DefaultParagraphFont"/>
    <w:uiPriority w:val="99"/>
    <w:semiHidden/>
    <w:unhideWhenUsed/>
    <w:rsid w:val="00545EB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2382544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58698599">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1520549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22587435">
      <w:bodyDiv w:val="1"/>
      <w:marLeft w:val="0"/>
      <w:marRight w:val="0"/>
      <w:marTop w:val="0"/>
      <w:marBottom w:val="0"/>
      <w:divBdr>
        <w:top w:val="none" w:sz="0" w:space="0" w:color="auto"/>
        <w:left w:val="none" w:sz="0" w:space="0" w:color="auto"/>
        <w:bottom w:val="none" w:sz="0" w:space="0" w:color="auto"/>
        <w:right w:val="none" w:sz="0" w:space="0" w:color="auto"/>
      </w:divBdr>
    </w:div>
    <w:div w:id="1043824621">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131290660">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64044447">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04403646">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ma.treasury.gov.za/Circulars/Pages/default.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fma.treasury.gov.za/Circulars/Documents/Forms/AllItems.aspx?RootFolder=%2fCirculars%2fDocuments%2fBudget%20Circular%20No%2098&amp;FolderCTID=0x012000E772703726E2A8479752CF24A134692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C75B4-C9B2-495C-B88D-D0BCAC5CD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2021-05-12T11:01:00Z</dcterms:created>
  <dcterms:modified xsi:type="dcterms:W3CDTF">2021-05-12T11:01:00Z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