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05" w:rsidRPr="002D499A" w:rsidRDefault="00262F05" w:rsidP="00F903C3">
      <w:pPr>
        <w:spacing w:line="360" w:lineRule="auto"/>
        <w:jc w:val="center"/>
        <w:rPr>
          <w:rFonts w:ascii="Arial" w:hAnsi="Arial" w:cs="Arial"/>
          <w:b/>
          <w:sz w:val="22"/>
          <w:szCs w:val="22"/>
        </w:rPr>
      </w:pPr>
      <w:r w:rsidRPr="002D499A">
        <w:rPr>
          <w:rFonts w:ascii="Arial" w:hAnsi="Arial" w:cs="Arial"/>
          <w:b/>
          <w:sz w:val="22"/>
          <w:szCs w:val="22"/>
        </w:rPr>
        <w:t>NATIONAL ASSEMBLY</w:t>
      </w:r>
    </w:p>
    <w:p w:rsidR="00262F05" w:rsidRPr="002D499A" w:rsidRDefault="00262F05" w:rsidP="00F903C3">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262F05" w:rsidRPr="002D499A" w:rsidRDefault="004709BD" w:rsidP="00F903C3">
      <w:pPr>
        <w:spacing w:line="360" w:lineRule="auto"/>
        <w:jc w:val="center"/>
        <w:rPr>
          <w:rFonts w:ascii="Arial" w:hAnsi="Arial" w:cs="Arial"/>
          <w:b/>
          <w:sz w:val="22"/>
          <w:szCs w:val="22"/>
        </w:rPr>
      </w:pPr>
      <w:r w:rsidRPr="002D499A">
        <w:rPr>
          <w:rFonts w:ascii="Arial" w:hAnsi="Arial" w:cs="Arial"/>
          <w:b/>
          <w:sz w:val="22"/>
          <w:szCs w:val="22"/>
        </w:rPr>
        <w:t xml:space="preserve">QUESTION NUMBER: </w:t>
      </w:r>
      <w:r w:rsidR="00637734">
        <w:rPr>
          <w:rFonts w:ascii="Arial" w:hAnsi="Arial" w:cs="Arial"/>
          <w:b/>
          <w:sz w:val="22"/>
          <w:szCs w:val="22"/>
        </w:rPr>
        <w:t>296</w:t>
      </w:r>
      <w:r w:rsidR="00262F05" w:rsidRPr="002D499A">
        <w:rPr>
          <w:rFonts w:ascii="Arial" w:hAnsi="Arial" w:cs="Arial"/>
          <w:b/>
          <w:sz w:val="22"/>
          <w:szCs w:val="22"/>
        </w:rPr>
        <w:t xml:space="preserve"> [NW</w:t>
      </w:r>
      <w:r w:rsidR="00637734">
        <w:rPr>
          <w:rFonts w:ascii="Arial" w:hAnsi="Arial" w:cs="Arial"/>
          <w:b/>
          <w:sz w:val="22"/>
          <w:szCs w:val="22"/>
        </w:rPr>
        <w:t>312</w:t>
      </w:r>
      <w:r w:rsidR="00262F05" w:rsidRPr="002D499A">
        <w:rPr>
          <w:rFonts w:ascii="Arial" w:hAnsi="Arial" w:cs="Arial"/>
          <w:b/>
          <w:sz w:val="22"/>
          <w:szCs w:val="22"/>
        </w:rPr>
        <w:t>E]</w:t>
      </w:r>
    </w:p>
    <w:p w:rsidR="00262F05" w:rsidRPr="002D499A" w:rsidRDefault="0097786E" w:rsidP="00F903C3">
      <w:pPr>
        <w:spacing w:line="360" w:lineRule="auto"/>
        <w:jc w:val="center"/>
        <w:rPr>
          <w:rFonts w:ascii="Arial" w:hAnsi="Arial" w:cs="Arial"/>
          <w:b/>
          <w:sz w:val="22"/>
          <w:szCs w:val="22"/>
        </w:rPr>
      </w:pPr>
      <w:r w:rsidRPr="002D499A">
        <w:rPr>
          <w:rFonts w:ascii="Arial" w:hAnsi="Arial" w:cs="Arial"/>
          <w:b/>
          <w:sz w:val="22"/>
          <w:szCs w:val="22"/>
        </w:rPr>
        <w:t xml:space="preserve">DATE OF PUBLICATION: </w:t>
      </w:r>
      <w:r w:rsidR="00637734">
        <w:rPr>
          <w:rFonts w:ascii="Arial" w:hAnsi="Arial" w:cs="Arial"/>
          <w:b/>
          <w:sz w:val="22"/>
          <w:szCs w:val="22"/>
        </w:rPr>
        <w:t>22</w:t>
      </w:r>
      <w:r w:rsidR="00D61422" w:rsidRPr="002D499A">
        <w:rPr>
          <w:rFonts w:ascii="Arial" w:hAnsi="Arial" w:cs="Arial"/>
          <w:b/>
          <w:sz w:val="22"/>
          <w:szCs w:val="22"/>
        </w:rPr>
        <w:t xml:space="preserve"> </w:t>
      </w:r>
      <w:r w:rsidR="00F903C3">
        <w:rPr>
          <w:rFonts w:ascii="Arial" w:hAnsi="Arial" w:cs="Arial"/>
          <w:b/>
          <w:sz w:val="22"/>
          <w:szCs w:val="22"/>
        </w:rPr>
        <w:t>FEBRUARY</w:t>
      </w:r>
      <w:r w:rsidR="00262F05" w:rsidRPr="002D499A">
        <w:rPr>
          <w:rFonts w:ascii="Arial" w:hAnsi="Arial" w:cs="Arial"/>
          <w:b/>
          <w:sz w:val="22"/>
          <w:szCs w:val="22"/>
        </w:rPr>
        <w:t xml:space="preserve"> 2018</w:t>
      </w:r>
    </w:p>
    <w:p w:rsidR="0062770E" w:rsidRPr="00637734" w:rsidRDefault="0062770E" w:rsidP="00637734">
      <w:pPr>
        <w:spacing w:line="276" w:lineRule="auto"/>
        <w:jc w:val="both"/>
        <w:rPr>
          <w:rFonts w:ascii="Arial" w:hAnsi="Arial" w:cs="Arial"/>
          <w:b/>
          <w:sz w:val="22"/>
          <w:szCs w:val="22"/>
        </w:rPr>
      </w:pPr>
    </w:p>
    <w:p w:rsidR="00637734" w:rsidRPr="00637734" w:rsidRDefault="00637734" w:rsidP="00637734">
      <w:pPr>
        <w:spacing w:before="100" w:beforeAutospacing="1" w:after="100" w:afterAutospacing="1" w:line="276" w:lineRule="auto"/>
        <w:jc w:val="both"/>
        <w:outlineLvl w:val="0"/>
        <w:rPr>
          <w:rFonts w:ascii="Arial" w:eastAsia="Calibri" w:hAnsi="Arial" w:cs="Arial"/>
          <w:b/>
          <w:sz w:val="22"/>
          <w:szCs w:val="22"/>
          <w:lang w:val="en-ZA"/>
        </w:rPr>
      </w:pPr>
      <w:r w:rsidRPr="00637734">
        <w:rPr>
          <w:rFonts w:ascii="Arial" w:eastAsia="Calibri" w:hAnsi="Arial" w:cs="Arial"/>
          <w:b/>
          <w:noProof/>
          <w:sz w:val="22"/>
          <w:szCs w:val="22"/>
          <w:lang w:val="af-ZA"/>
        </w:rPr>
        <w:t>296.</w:t>
      </w:r>
      <w:r w:rsidRPr="00637734">
        <w:rPr>
          <w:rFonts w:ascii="Arial" w:eastAsia="Calibri" w:hAnsi="Arial" w:cs="Arial"/>
          <w:b/>
          <w:noProof/>
          <w:sz w:val="22"/>
          <w:szCs w:val="22"/>
          <w:lang w:val="af-ZA"/>
        </w:rPr>
        <w:tab/>
        <w:t xml:space="preserve">Adv A de W </w:t>
      </w:r>
      <w:bookmarkStart w:id="0" w:name="_GoBack"/>
      <w:r w:rsidRPr="00637734">
        <w:rPr>
          <w:rFonts w:ascii="Arial" w:eastAsia="Calibri" w:hAnsi="Arial" w:cs="Arial"/>
          <w:b/>
          <w:noProof/>
          <w:sz w:val="22"/>
          <w:szCs w:val="22"/>
          <w:lang w:val="af-ZA"/>
        </w:rPr>
        <w:t xml:space="preserve">Alberts </w:t>
      </w:r>
      <w:bookmarkEnd w:id="0"/>
      <w:r w:rsidRPr="00637734">
        <w:rPr>
          <w:rFonts w:ascii="Arial" w:eastAsia="Calibri" w:hAnsi="Arial" w:cs="Arial"/>
          <w:b/>
          <w:sz w:val="22"/>
          <w:szCs w:val="22"/>
          <w:lang w:val="en-ZA"/>
        </w:rPr>
        <w:t>(FF Plus) to ask the Minister of Finance:</w:t>
      </w:r>
      <w:r w:rsidRPr="00637734">
        <w:rPr>
          <w:rFonts w:ascii="Arial" w:eastAsia="Calibri" w:hAnsi="Arial" w:cs="Arial"/>
          <w:b/>
          <w:noProof/>
          <w:sz w:val="22"/>
          <w:szCs w:val="22"/>
          <w:lang w:val="af-ZA"/>
        </w:rPr>
        <w:t>†</w:t>
      </w:r>
    </w:p>
    <w:p w:rsidR="00637734" w:rsidRPr="00637734" w:rsidRDefault="00637734" w:rsidP="00637734">
      <w:pPr>
        <w:spacing w:before="100" w:beforeAutospacing="1" w:after="100" w:afterAutospacing="1" w:line="276" w:lineRule="auto"/>
        <w:ind w:left="720" w:hanging="720"/>
        <w:jc w:val="both"/>
        <w:rPr>
          <w:rFonts w:ascii="Arial" w:eastAsia="Calibri" w:hAnsi="Arial" w:cs="Arial"/>
          <w:color w:val="000000"/>
          <w:sz w:val="22"/>
          <w:szCs w:val="22"/>
          <w:lang w:val="en-ZA"/>
        </w:rPr>
      </w:pPr>
      <w:r w:rsidRPr="00637734">
        <w:rPr>
          <w:rFonts w:ascii="Arial" w:eastAsia="Calibri" w:hAnsi="Arial" w:cs="Arial"/>
          <w:color w:val="000000"/>
          <w:sz w:val="22"/>
          <w:szCs w:val="22"/>
          <w:lang w:val="en-ZA"/>
        </w:rPr>
        <w:t>(1)</w:t>
      </w:r>
      <w:r w:rsidRPr="00637734">
        <w:rPr>
          <w:rFonts w:ascii="Arial" w:eastAsia="Calibri" w:hAnsi="Arial" w:cs="Arial"/>
          <w:color w:val="000000"/>
          <w:sz w:val="22"/>
          <w:szCs w:val="22"/>
          <w:lang w:val="en-ZA"/>
        </w:rPr>
        <w:tab/>
        <w:t xml:space="preserve">What are the full relevant details of the way in which the trustees of the Government Employees Pension Fund (GEPF) have fulfilled their fiduciary obligations with regard to the transactions entered into by the Public Investment Corporation (PIC) on behalf of the GEPF with the (a) investments in Steinhoff and the eventual write-off of the investment, (b) the investments in Ayo Technology Solutions Ltd, (c) the fruitless investment in </w:t>
      </w:r>
      <w:proofErr w:type="spellStart"/>
      <w:r w:rsidRPr="00637734">
        <w:rPr>
          <w:rFonts w:ascii="Arial" w:eastAsia="Calibri" w:hAnsi="Arial" w:cs="Arial"/>
          <w:color w:val="000000"/>
          <w:sz w:val="22"/>
          <w:szCs w:val="22"/>
          <w:lang w:val="en-ZA"/>
        </w:rPr>
        <w:t>Sagarmatha</w:t>
      </w:r>
      <w:proofErr w:type="spellEnd"/>
      <w:r w:rsidRPr="00637734">
        <w:rPr>
          <w:rFonts w:ascii="Arial" w:eastAsia="Calibri" w:hAnsi="Arial" w:cs="Arial"/>
          <w:color w:val="000000"/>
          <w:sz w:val="22"/>
          <w:szCs w:val="22"/>
          <w:lang w:val="en-ZA"/>
        </w:rPr>
        <w:t xml:space="preserve"> Technologies, (d) the investments in and loans to </w:t>
      </w:r>
      <w:proofErr w:type="spellStart"/>
      <w:r w:rsidRPr="00637734">
        <w:rPr>
          <w:rFonts w:ascii="Arial" w:eastAsia="Calibri" w:hAnsi="Arial" w:cs="Arial"/>
          <w:color w:val="000000"/>
          <w:sz w:val="22"/>
          <w:szCs w:val="22"/>
          <w:lang w:val="en-ZA"/>
        </w:rPr>
        <w:t>Sekunjalo</w:t>
      </w:r>
      <w:proofErr w:type="spellEnd"/>
      <w:r w:rsidRPr="00637734">
        <w:rPr>
          <w:rFonts w:ascii="Arial" w:eastAsia="Calibri" w:hAnsi="Arial" w:cs="Arial"/>
          <w:color w:val="000000"/>
          <w:sz w:val="22"/>
          <w:szCs w:val="22"/>
          <w:lang w:val="en-ZA"/>
        </w:rPr>
        <w:t xml:space="preserve"> and Independent Media and the eventual write-off of the investment(s) and loan(s) and (e) the investments in VBS Mutual Bank; </w:t>
      </w:r>
    </w:p>
    <w:p w:rsidR="00637734" w:rsidRPr="00637734" w:rsidRDefault="00637734" w:rsidP="00637734">
      <w:pPr>
        <w:spacing w:before="100" w:beforeAutospacing="1" w:after="100" w:afterAutospacing="1" w:line="276" w:lineRule="auto"/>
        <w:jc w:val="both"/>
        <w:rPr>
          <w:rFonts w:ascii="Arial" w:eastAsia="Calibri" w:hAnsi="Arial" w:cs="Arial"/>
          <w:color w:val="000000"/>
          <w:sz w:val="22"/>
          <w:szCs w:val="22"/>
          <w:lang w:val="en-ZA"/>
        </w:rPr>
      </w:pPr>
      <w:r w:rsidRPr="00637734">
        <w:rPr>
          <w:rFonts w:ascii="Arial" w:eastAsia="Calibri" w:hAnsi="Arial" w:cs="Arial"/>
          <w:color w:val="000000"/>
          <w:sz w:val="22"/>
          <w:szCs w:val="22"/>
          <w:lang w:val="en-ZA"/>
        </w:rPr>
        <w:t>(2)</w:t>
      </w:r>
      <w:r w:rsidRPr="00637734">
        <w:rPr>
          <w:rFonts w:ascii="Arial" w:eastAsia="Calibri" w:hAnsi="Arial" w:cs="Arial"/>
          <w:color w:val="000000"/>
          <w:sz w:val="22"/>
          <w:szCs w:val="22"/>
          <w:lang w:val="en-ZA"/>
        </w:rPr>
        <w:tab/>
        <w:t>in each case, what amount was (a) invested, (b) loaned and (c) finally written off;</w:t>
      </w:r>
    </w:p>
    <w:p w:rsidR="00637734" w:rsidRDefault="00637734" w:rsidP="00637734">
      <w:pPr>
        <w:spacing w:before="100" w:beforeAutospacing="1" w:after="100" w:afterAutospacing="1" w:line="276" w:lineRule="auto"/>
        <w:ind w:left="720" w:hanging="720"/>
        <w:jc w:val="both"/>
        <w:rPr>
          <w:rFonts w:ascii="Arial" w:eastAsia="Calibri" w:hAnsi="Arial" w:cs="Arial"/>
          <w:sz w:val="22"/>
          <w:szCs w:val="22"/>
          <w:lang w:val="af-ZA"/>
        </w:rPr>
      </w:pPr>
      <w:r w:rsidRPr="00637734">
        <w:rPr>
          <w:rFonts w:ascii="Arial" w:eastAsia="Calibri" w:hAnsi="Arial" w:cs="Arial"/>
          <w:color w:val="000000"/>
          <w:sz w:val="22"/>
          <w:szCs w:val="22"/>
          <w:lang w:val="en-ZA"/>
        </w:rPr>
        <w:t>(3)</w:t>
      </w:r>
      <w:r w:rsidRPr="00637734">
        <w:rPr>
          <w:rFonts w:ascii="Arial" w:eastAsia="Calibri" w:hAnsi="Arial" w:cs="Arial"/>
          <w:color w:val="000000"/>
          <w:sz w:val="22"/>
          <w:szCs w:val="22"/>
          <w:lang w:val="en-ZA"/>
        </w:rPr>
        <w:tab/>
        <w:t xml:space="preserve">(a) what communication took place in each case between the GEPF and the PIC, (b) whether the trustees of the GEPF were fully informed about the nature of the investments and write-offs and (c) what were the responses of the GEPF trustees in each case? </w:t>
      </w:r>
      <w:r w:rsidRPr="00637734">
        <w:rPr>
          <w:rFonts w:ascii="Arial" w:eastAsia="Calibri" w:hAnsi="Arial" w:cs="Arial"/>
          <w:color w:val="000000"/>
          <w:sz w:val="22"/>
          <w:szCs w:val="22"/>
          <w:lang w:val="en-ZA"/>
        </w:rPr>
        <w:tab/>
      </w:r>
      <w:r w:rsidRPr="00637734">
        <w:rPr>
          <w:rFonts w:ascii="Arial" w:eastAsia="Calibri" w:hAnsi="Arial" w:cs="Arial"/>
          <w:color w:val="000000"/>
          <w:sz w:val="22"/>
          <w:szCs w:val="22"/>
          <w:lang w:val="en-ZA"/>
        </w:rPr>
        <w:tab/>
      </w:r>
      <w:r w:rsidRPr="00637734">
        <w:rPr>
          <w:rFonts w:ascii="Arial" w:eastAsia="Calibri" w:hAnsi="Arial" w:cs="Arial"/>
          <w:sz w:val="22"/>
          <w:szCs w:val="22"/>
          <w:lang w:val="af-ZA"/>
        </w:rPr>
        <w:tab/>
      </w:r>
      <w:r w:rsidRPr="00637734">
        <w:rPr>
          <w:rFonts w:ascii="Arial" w:eastAsia="Calibri" w:hAnsi="Arial" w:cs="Arial"/>
          <w:sz w:val="22"/>
          <w:szCs w:val="22"/>
          <w:lang w:val="af-ZA"/>
        </w:rPr>
        <w:tab/>
      </w:r>
      <w:r w:rsidRPr="00637734">
        <w:rPr>
          <w:rFonts w:ascii="Arial" w:eastAsia="Calibri" w:hAnsi="Arial" w:cs="Arial"/>
          <w:sz w:val="22"/>
          <w:szCs w:val="22"/>
          <w:lang w:val="af-ZA"/>
        </w:rPr>
        <w:tab/>
      </w:r>
      <w:r w:rsidRPr="00637734">
        <w:rPr>
          <w:rFonts w:ascii="Arial" w:eastAsia="Calibri" w:hAnsi="Arial" w:cs="Arial"/>
          <w:sz w:val="22"/>
          <w:szCs w:val="22"/>
          <w:lang w:val="af-ZA"/>
        </w:rPr>
        <w:tab/>
      </w:r>
    </w:p>
    <w:p w:rsidR="00637734" w:rsidRPr="00637734" w:rsidRDefault="00637734" w:rsidP="00637734">
      <w:pPr>
        <w:spacing w:before="100" w:beforeAutospacing="1" w:after="100" w:afterAutospacing="1" w:line="276" w:lineRule="auto"/>
        <w:ind w:left="720" w:hanging="720"/>
        <w:jc w:val="both"/>
        <w:rPr>
          <w:rFonts w:ascii="Arial" w:eastAsia="Calibr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Pr="00637734">
        <w:rPr>
          <w:rFonts w:ascii="Arial" w:eastAsia="Calibri" w:hAnsi="Arial" w:cs="Arial"/>
          <w:sz w:val="22"/>
          <w:szCs w:val="22"/>
          <w:lang w:val="af-ZA"/>
        </w:rPr>
        <w:tab/>
        <w:t>NW312E]</w:t>
      </w:r>
    </w:p>
    <w:p w:rsidR="001433AE" w:rsidRPr="00637734" w:rsidRDefault="001433AE" w:rsidP="00637734">
      <w:pPr>
        <w:spacing w:before="100" w:beforeAutospacing="1" w:after="100" w:afterAutospacing="1" w:line="276" w:lineRule="auto"/>
        <w:jc w:val="both"/>
        <w:outlineLvl w:val="0"/>
        <w:rPr>
          <w:rFonts w:ascii="Arial" w:hAnsi="Arial" w:cs="Arial"/>
          <w:sz w:val="22"/>
          <w:szCs w:val="22"/>
        </w:rPr>
      </w:pPr>
      <w:r w:rsidRPr="00637734">
        <w:rPr>
          <w:rFonts w:ascii="Arial" w:hAnsi="Arial" w:cs="Arial"/>
          <w:b/>
          <w:sz w:val="22"/>
          <w:szCs w:val="22"/>
        </w:rPr>
        <w:t>REPLY</w:t>
      </w:r>
      <w:r w:rsidRPr="00637734">
        <w:rPr>
          <w:rFonts w:ascii="Arial" w:hAnsi="Arial" w:cs="Arial"/>
          <w:sz w:val="22"/>
          <w:szCs w:val="22"/>
        </w:rPr>
        <w:t>:</w:t>
      </w:r>
    </w:p>
    <w:p w:rsidR="006E2FC4" w:rsidRPr="006E2FC4" w:rsidRDefault="006E2FC4" w:rsidP="00363DE7">
      <w:pPr>
        <w:spacing w:line="276" w:lineRule="auto"/>
        <w:ind w:left="709" w:hanging="709"/>
        <w:jc w:val="both"/>
        <w:rPr>
          <w:rFonts w:ascii="Arial" w:hAnsi="Arial" w:cs="Arial"/>
          <w:sz w:val="22"/>
          <w:szCs w:val="22"/>
        </w:rPr>
      </w:pPr>
      <w:r>
        <w:rPr>
          <w:rFonts w:ascii="Arial" w:eastAsia="Calibri" w:hAnsi="Arial" w:cs="Arial"/>
          <w:noProof/>
          <w:sz w:val="22"/>
          <w:szCs w:val="22"/>
          <w:lang w:val="en"/>
        </w:rPr>
        <w:t>(1)</w:t>
      </w:r>
      <w:r>
        <w:rPr>
          <w:rFonts w:ascii="Arial" w:eastAsia="Calibri" w:hAnsi="Arial" w:cs="Arial"/>
          <w:noProof/>
          <w:sz w:val="22"/>
          <w:szCs w:val="22"/>
          <w:lang w:val="en"/>
        </w:rPr>
        <w:tab/>
        <w:t xml:space="preserve">The GEPF has already provided a detailed response to a similar question in </w:t>
      </w:r>
      <w:r w:rsidR="00363DE7">
        <w:rPr>
          <w:rFonts w:ascii="Arial" w:eastAsia="Calibri" w:hAnsi="Arial" w:cs="Arial"/>
          <w:noProof/>
          <w:sz w:val="22"/>
          <w:szCs w:val="22"/>
          <w:lang w:val="en"/>
        </w:rPr>
        <w:t>broad terms which applies to detailed investment monitoring</w:t>
      </w:r>
      <w:r>
        <w:rPr>
          <w:rFonts w:ascii="Arial" w:eastAsia="Calibri" w:hAnsi="Arial" w:cs="Arial"/>
          <w:noProof/>
          <w:sz w:val="22"/>
          <w:szCs w:val="22"/>
          <w:lang w:val="en"/>
        </w:rPr>
        <w:t xml:space="preserve">, refer to the response provided to </w:t>
      </w:r>
      <w:r w:rsidRPr="006E2FC4">
        <w:rPr>
          <w:rFonts w:ascii="Arial" w:hAnsi="Arial" w:cs="Arial"/>
          <w:sz w:val="22"/>
          <w:szCs w:val="22"/>
        </w:rPr>
        <w:t>Question Number: 1220 [NW1316E]</w:t>
      </w:r>
      <w:r>
        <w:rPr>
          <w:rFonts w:ascii="Arial" w:hAnsi="Arial" w:cs="Arial"/>
          <w:sz w:val="22"/>
          <w:szCs w:val="22"/>
        </w:rPr>
        <w:t xml:space="preserve"> dated 2 May 2018</w:t>
      </w:r>
      <w:r w:rsidR="00363DE7">
        <w:rPr>
          <w:rFonts w:ascii="Arial" w:hAnsi="Arial" w:cs="Arial"/>
          <w:sz w:val="22"/>
          <w:szCs w:val="22"/>
        </w:rPr>
        <w:t xml:space="preserve">.  </w:t>
      </w:r>
    </w:p>
    <w:p w:rsidR="00E64319" w:rsidRPr="00E64319" w:rsidRDefault="006E2FC4" w:rsidP="006E2FC4">
      <w:pPr>
        <w:pStyle w:val="ListParagraph"/>
        <w:spacing w:before="100" w:beforeAutospacing="1" w:after="100" w:afterAutospacing="1" w:line="276" w:lineRule="auto"/>
        <w:jc w:val="both"/>
        <w:rPr>
          <w:rFonts w:ascii="Arial" w:eastAsia="Calibri" w:hAnsi="Arial" w:cs="Arial"/>
          <w:noProof/>
          <w:sz w:val="22"/>
          <w:szCs w:val="22"/>
          <w:lang w:val="en-ZA"/>
        </w:rPr>
      </w:pPr>
      <w:r>
        <w:rPr>
          <w:rFonts w:ascii="Arial" w:eastAsia="Calibri" w:hAnsi="Arial" w:cs="Arial"/>
          <w:noProof/>
          <w:sz w:val="22"/>
          <w:szCs w:val="22"/>
          <w:lang w:val="en"/>
        </w:rPr>
        <w:t>Th</w:t>
      </w:r>
      <w:r w:rsidR="00030C0E" w:rsidRPr="00E64319">
        <w:rPr>
          <w:rFonts w:ascii="Arial" w:eastAsia="Calibri" w:hAnsi="Arial" w:cs="Arial"/>
          <w:noProof/>
          <w:sz w:val="22"/>
          <w:szCs w:val="22"/>
          <w:lang w:val="en"/>
        </w:rPr>
        <w:t xml:space="preserve">e GEPF and PIC have entered into a </w:t>
      </w:r>
      <w:r w:rsidR="00030C0E" w:rsidRPr="00E64319">
        <w:rPr>
          <w:rFonts w:ascii="Arial" w:eastAsia="Calibri" w:hAnsi="Arial" w:cs="Arial"/>
          <w:noProof/>
          <w:sz w:val="22"/>
          <w:szCs w:val="22"/>
        </w:rPr>
        <w:t xml:space="preserve">formal arrangement stipulating the terms under which the PIC is authorised to manage the assets of the GEPF.  </w:t>
      </w:r>
      <w:r w:rsidR="00030C0E" w:rsidRPr="00E64319">
        <w:rPr>
          <w:rFonts w:ascii="Arial" w:eastAsia="Calibri" w:hAnsi="Arial" w:cs="Arial"/>
          <w:noProof/>
          <w:sz w:val="22"/>
          <w:szCs w:val="22"/>
          <w:lang w:val="en"/>
        </w:rPr>
        <w:t xml:space="preserve">The Trustees have implemented variouis </w:t>
      </w:r>
      <w:r w:rsidR="00030C0E" w:rsidRPr="00E64319">
        <w:rPr>
          <w:rFonts w:ascii="Arial" w:eastAsia="Calibri" w:hAnsi="Arial" w:cs="Arial"/>
          <w:noProof/>
          <w:sz w:val="22"/>
          <w:szCs w:val="22"/>
          <w:lang w:val="en-ZA"/>
        </w:rPr>
        <w:t xml:space="preserve">the monitoring and compliance measures to enable them to effectively discharge their fiduciary duty of investment monitoring.  </w:t>
      </w:r>
      <w:r w:rsidR="00E64319" w:rsidRPr="00E64319">
        <w:rPr>
          <w:rFonts w:ascii="Arial" w:eastAsia="Calibri" w:hAnsi="Arial" w:cs="Arial"/>
          <w:noProof/>
          <w:sz w:val="22"/>
          <w:szCs w:val="22"/>
          <w:lang w:val="en-ZA"/>
        </w:rPr>
        <w:t>The Board has constituted permanent committees and sub-committeees to give effect to its strategic functions, including investment monitoring. All the committees have formal terms of reference that clearly set out the mandate and duties of the  each committee. These are briefly described below.</w:t>
      </w:r>
    </w:p>
    <w:p w:rsidR="00363DE7" w:rsidRDefault="00363DE7">
      <w:pPr>
        <w:rPr>
          <w:rFonts w:ascii="Arial" w:eastAsia="Calibri" w:hAnsi="Arial" w:cs="Arial"/>
          <w:noProof/>
          <w:sz w:val="22"/>
          <w:szCs w:val="22"/>
          <w:lang w:val="en-ZA"/>
        </w:rPr>
      </w:pPr>
      <w:r>
        <w:rPr>
          <w:rFonts w:ascii="Arial" w:eastAsia="Calibri" w:hAnsi="Arial" w:cs="Arial"/>
          <w:noProof/>
          <w:sz w:val="22"/>
          <w:szCs w:val="22"/>
          <w:lang w:val="en-ZA"/>
        </w:rPr>
        <w:br w:type="page"/>
      </w:r>
    </w:p>
    <w:p w:rsidR="00E64319" w:rsidRPr="00F572BF" w:rsidRDefault="00E64319" w:rsidP="00E64319">
      <w:pPr>
        <w:spacing w:before="100" w:beforeAutospacing="1" w:after="100" w:afterAutospacing="1" w:line="276" w:lineRule="auto"/>
        <w:ind w:left="720"/>
        <w:jc w:val="both"/>
        <w:rPr>
          <w:rFonts w:ascii="Arial" w:eastAsia="Calibri" w:hAnsi="Arial" w:cs="Arial"/>
          <w:noProof/>
          <w:sz w:val="22"/>
          <w:szCs w:val="22"/>
          <w:lang w:val="en"/>
        </w:rPr>
      </w:pPr>
      <w:r>
        <w:rPr>
          <w:rFonts w:ascii="Arial" w:eastAsia="Calibri" w:hAnsi="Arial" w:cs="Arial"/>
          <w:noProof/>
          <w:sz w:val="22"/>
          <w:szCs w:val="22"/>
          <w:lang w:val="en-ZA"/>
        </w:rPr>
        <w:lastRenderedPageBreak/>
        <w:t>Board Committees:</w:t>
      </w:r>
    </w:p>
    <w:p w:rsidR="00E64319" w:rsidRPr="00B277F8" w:rsidRDefault="00E64319" w:rsidP="00E64319">
      <w:pPr>
        <w:pStyle w:val="ListParagraph"/>
        <w:numPr>
          <w:ilvl w:val="0"/>
          <w:numId w:val="8"/>
        </w:numPr>
        <w:spacing w:before="100" w:beforeAutospacing="1" w:after="100" w:afterAutospacing="1" w:line="276" w:lineRule="auto"/>
        <w:jc w:val="both"/>
        <w:rPr>
          <w:rFonts w:ascii="Arial" w:eastAsia="Calibri" w:hAnsi="Arial" w:cs="Arial"/>
          <w:noProof/>
          <w:sz w:val="22"/>
          <w:szCs w:val="22"/>
        </w:rPr>
      </w:pPr>
      <w:r w:rsidRPr="00FD0412">
        <w:rPr>
          <w:rFonts w:ascii="Arial" w:eastAsia="Calibri" w:hAnsi="Arial" w:cs="Arial"/>
          <w:b/>
          <w:noProof/>
          <w:sz w:val="22"/>
          <w:szCs w:val="22"/>
          <w:lang w:val="en"/>
        </w:rPr>
        <w:t xml:space="preserve">The Investment Committee </w:t>
      </w:r>
      <w:r w:rsidRPr="00FD0412">
        <w:rPr>
          <w:rFonts w:ascii="Arial" w:eastAsia="Calibri" w:hAnsi="Arial" w:cs="Arial"/>
          <w:noProof/>
          <w:sz w:val="22"/>
          <w:szCs w:val="22"/>
          <w:lang w:val="en"/>
        </w:rPr>
        <w:t>is a committee of the Board</w:t>
      </w:r>
      <w:r>
        <w:rPr>
          <w:rFonts w:ascii="Arial" w:eastAsia="Calibri" w:hAnsi="Arial" w:cs="Arial"/>
          <w:noProof/>
          <w:sz w:val="22"/>
          <w:szCs w:val="22"/>
          <w:lang w:val="en"/>
        </w:rPr>
        <w:t xml:space="preserve"> whose duty includes monitoring the Investment Managers’ investments, including the PIC</w:t>
      </w:r>
      <w:r w:rsidRPr="00FD0412">
        <w:rPr>
          <w:rFonts w:ascii="Arial" w:eastAsia="Calibri" w:hAnsi="Arial" w:cs="Arial"/>
          <w:noProof/>
          <w:sz w:val="22"/>
          <w:szCs w:val="22"/>
          <w:lang w:val="en"/>
        </w:rPr>
        <w:t xml:space="preserve">. </w:t>
      </w:r>
      <w:r>
        <w:rPr>
          <w:rFonts w:ascii="Arial" w:eastAsia="Calibri" w:hAnsi="Arial" w:cs="Arial"/>
          <w:noProof/>
          <w:sz w:val="22"/>
          <w:szCs w:val="22"/>
        </w:rPr>
        <w:t xml:space="preserve">Part of the investment committee’s duty is to </w:t>
      </w:r>
      <w:r w:rsidRPr="00B277F8">
        <w:rPr>
          <w:rFonts w:ascii="Arial" w:eastAsia="Calibri" w:hAnsi="Arial" w:cs="Arial"/>
          <w:noProof/>
          <w:sz w:val="22"/>
          <w:szCs w:val="22"/>
        </w:rPr>
        <w:t>consider various factors including any changes in the Fund’s liabilities as reported by the Fund’s Valuator, and any changes in the expected return on the Fund</w:t>
      </w:r>
      <w:r>
        <w:rPr>
          <w:rFonts w:ascii="Arial" w:eastAsia="Calibri" w:hAnsi="Arial" w:cs="Arial"/>
          <w:noProof/>
          <w:sz w:val="22"/>
          <w:szCs w:val="22"/>
        </w:rPr>
        <w:t>’s</w:t>
      </w:r>
      <w:r w:rsidRPr="00B277F8">
        <w:rPr>
          <w:rFonts w:ascii="Arial" w:eastAsia="Calibri" w:hAnsi="Arial" w:cs="Arial"/>
          <w:noProof/>
          <w:sz w:val="22"/>
          <w:szCs w:val="22"/>
        </w:rPr>
        <w:t xml:space="preserve"> assets, the likely volatility of the value of the Fund’s assets and any implications those changes may have on the funding level of the Fund, contribution requirements, or benefits of the Fund, including but not limited to:</w:t>
      </w:r>
    </w:p>
    <w:p w:rsidR="00E64319" w:rsidRDefault="00E64319" w:rsidP="00E64319">
      <w:pPr>
        <w:pStyle w:val="ListParagraph"/>
        <w:spacing w:before="100" w:beforeAutospacing="1" w:after="100" w:afterAutospacing="1" w:line="276" w:lineRule="auto"/>
        <w:ind w:left="1080"/>
        <w:jc w:val="both"/>
        <w:rPr>
          <w:rFonts w:ascii="Arial" w:eastAsia="Calibri" w:hAnsi="Arial" w:cs="Arial"/>
          <w:noProof/>
          <w:sz w:val="22"/>
          <w:szCs w:val="22"/>
          <w:lang w:val="en"/>
        </w:rPr>
      </w:pPr>
    </w:p>
    <w:p w:rsidR="00E64319" w:rsidRPr="00FD0412" w:rsidRDefault="00E64319" w:rsidP="00E64319">
      <w:pPr>
        <w:pStyle w:val="ListParagraph"/>
        <w:numPr>
          <w:ilvl w:val="1"/>
          <w:numId w:val="6"/>
        </w:numPr>
        <w:spacing w:after="160" w:line="259" w:lineRule="auto"/>
        <w:ind w:left="1560" w:hanging="567"/>
        <w:jc w:val="both"/>
        <w:rPr>
          <w:rFonts w:ascii="Arial" w:hAnsi="Arial" w:cs="Arial"/>
          <w:color w:val="000000"/>
          <w:sz w:val="22"/>
          <w:szCs w:val="22"/>
        </w:rPr>
      </w:pPr>
      <w:r w:rsidRPr="00FD0412">
        <w:rPr>
          <w:rFonts w:ascii="Arial" w:hAnsi="Arial" w:cs="Arial"/>
          <w:color w:val="000000"/>
          <w:sz w:val="22"/>
          <w:szCs w:val="22"/>
        </w:rPr>
        <w:t>Monitoring and reviewing the performance of Investment Manager(s)</w:t>
      </w:r>
      <w:r w:rsidRPr="001D1872">
        <w:t xml:space="preserve"> </w:t>
      </w:r>
      <w:r w:rsidRPr="001D1872">
        <w:rPr>
          <w:rFonts w:ascii="Arial" w:hAnsi="Arial" w:cs="Arial"/>
          <w:color w:val="000000"/>
          <w:sz w:val="22"/>
          <w:szCs w:val="22"/>
        </w:rPr>
        <w:t>primarily the PIC,</w:t>
      </w:r>
      <w:r w:rsidRPr="00FD0412">
        <w:rPr>
          <w:rFonts w:ascii="Arial" w:hAnsi="Arial" w:cs="Arial"/>
          <w:color w:val="000000"/>
          <w:sz w:val="22"/>
          <w:szCs w:val="22"/>
        </w:rPr>
        <w:t xml:space="preserve"> to assure compliance with policy, procedures, risk and return objectives as set out in their mandate(s);</w:t>
      </w:r>
    </w:p>
    <w:p w:rsidR="00E64319" w:rsidRPr="009C3124" w:rsidRDefault="00E64319" w:rsidP="00E64319">
      <w:pPr>
        <w:widowControl w:val="0"/>
        <w:numPr>
          <w:ilvl w:val="0"/>
          <w:numId w:val="7"/>
        </w:numPr>
        <w:tabs>
          <w:tab w:val="clear" w:pos="775"/>
        </w:tabs>
        <w:spacing w:line="300" w:lineRule="auto"/>
        <w:ind w:left="1560" w:hanging="567"/>
        <w:jc w:val="both"/>
        <w:rPr>
          <w:rFonts w:ascii="Arial" w:hAnsi="Arial" w:cs="Arial"/>
          <w:color w:val="000000"/>
          <w:sz w:val="22"/>
          <w:szCs w:val="22"/>
        </w:rPr>
      </w:pPr>
      <w:r w:rsidRPr="009C3124">
        <w:rPr>
          <w:rFonts w:ascii="Arial" w:hAnsi="Arial" w:cs="Arial"/>
          <w:color w:val="000000"/>
          <w:sz w:val="22"/>
          <w:szCs w:val="22"/>
        </w:rPr>
        <w:t>Monitoring i</w:t>
      </w:r>
      <w:r>
        <w:rPr>
          <w:rFonts w:ascii="Arial" w:hAnsi="Arial" w:cs="Arial"/>
          <w:color w:val="000000"/>
          <w:sz w:val="22"/>
          <w:szCs w:val="22"/>
        </w:rPr>
        <w:t>nvestment performance. The investment committee</w:t>
      </w:r>
      <w:r w:rsidRPr="009C3124">
        <w:rPr>
          <w:rFonts w:ascii="Arial" w:hAnsi="Arial" w:cs="Arial"/>
          <w:color w:val="000000"/>
          <w:sz w:val="22"/>
          <w:szCs w:val="22"/>
        </w:rPr>
        <w:t xml:space="preserve"> ensure</w:t>
      </w:r>
      <w:r>
        <w:rPr>
          <w:rFonts w:ascii="Arial" w:hAnsi="Arial" w:cs="Arial"/>
          <w:color w:val="000000"/>
          <w:sz w:val="22"/>
          <w:szCs w:val="22"/>
        </w:rPr>
        <w:t>s</w:t>
      </w:r>
      <w:r w:rsidRPr="009C3124">
        <w:rPr>
          <w:rFonts w:ascii="Arial" w:hAnsi="Arial" w:cs="Arial"/>
          <w:color w:val="000000"/>
          <w:sz w:val="22"/>
          <w:szCs w:val="22"/>
        </w:rPr>
        <w:t xml:space="preserve"> that an independent review </w:t>
      </w:r>
      <w:r>
        <w:rPr>
          <w:rFonts w:ascii="Arial" w:hAnsi="Arial" w:cs="Arial"/>
          <w:color w:val="000000"/>
          <w:sz w:val="22"/>
          <w:szCs w:val="22"/>
        </w:rPr>
        <w:t xml:space="preserve">and evaluation </w:t>
      </w:r>
      <w:r w:rsidRPr="009C3124">
        <w:rPr>
          <w:rFonts w:ascii="Arial" w:hAnsi="Arial" w:cs="Arial"/>
          <w:color w:val="000000"/>
          <w:sz w:val="22"/>
          <w:szCs w:val="22"/>
        </w:rPr>
        <w:t>of the performance of the investment portfolio is conducted at least quarterly.</w:t>
      </w:r>
    </w:p>
    <w:p w:rsidR="00E64319" w:rsidRPr="009C3124" w:rsidRDefault="00E64319" w:rsidP="00E64319">
      <w:pPr>
        <w:widowControl w:val="0"/>
        <w:tabs>
          <w:tab w:val="num" w:pos="900"/>
        </w:tabs>
        <w:spacing w:line="300" w:lineRule="auto"/>
        <w:ind w:left="1560" w:hanging="567"/>
        <w:jc w:val="both"/>
        <w:rPr>
          <w:rFonts w:ascii="Arial" w:hAnsi="Arial" w:cs="Arial"/>
          <w:color w:val="000000"/>
          <w:sz w:val="22"/>
          <w:szCs w:val="22"/>
        </w:rPr>
      </w:pPr>
    </w:p>
    <w:p w:rsidR="00E64319" w:rsidRPr="00FD0412" w:rsidRDefault="00E64319" w:rsidP="00E64319">
      <w:pPr>
        <w:widowControl w:val="0"/>
        <w:numPr>
          <w:ilvl w:val="0"/>
          <w:numId w:val="7"/>
        </w:numPr>
        <w:tabs>
          <w:tab w:val="clear" w:pos="775"/>
        </w:tabs>
        <w:spacing w:line="300" w:lineRule="auto"/>
        <w:ind w:left="1560" w:hanging="567"/>
        <w:jc w:val="both"/>
        <w:rPr>
          <w:rFonts w:ascii="Arial" w:hAnsi="Arial" w:cs="Arial"/>
          <w:color w:val="000000"/>
          <w:sz w:val="22"/>
          <w:szCs w:val="22"/>
        </w:rPr>
      </w:pPr>
      <w:r w:rsidRPr="009C3124">
        <w:rPr>
          <w:rFonts w:ascii="Arial" w:hAnsi="Arial" w:cs="Arial"/>
          <w:color w:val="000000"/>
          <w:sz w:val="22"/>
          <w:szCs w:val="22"/>
        </w:rPr>
        <w:t xml:space="preserve">Reviewing quarterly investment reports and reporting where appropriate to the Board on issues that are considered important or relevant for Board deliberation. </w:t>
      </w:r>
    </w:p>
    <w:p w:rsidR="00E64319" w:rsidRDefault="00E64319" w:rsidP="00E64319">
      <w:pPr>
        <w:pStyle w:val="ListParagraph"/>
        <w:numPr>
          <w:ilvl w:val="0"/>
          <w:numId w:val="8"/>
        </w:numPr>
        <w:spacing w:before="100" w:beforeAutospacing="1" w:after="100" w:afterAutospacing="1" w:line="276" w:lineRule="auto"/>
        <w:jc w:val="both"/>
        <w:rPr>
          <w:rFonts w:ascii="Arial" w:eastAsia="Calibri" w:hAnsi="Arial" w:cs="Arial"/>
          <w:noProof/>
          <w:sz w:val="22"/>
          <w:szCs w:val="22"/>
        </w:rPr>
      </w:pPr>
      <w:r>
        <w:rPr>
          <w:rFonts w:ascii="Arial" w:eastAsia="Calibri" w:hAnsi="Arial" w:cs="Arial"/>
          <w:b/>
          <w:noProof/>
          <w:sz w:val="22"/>
          <w:szCs w:val="22"/>
          <w:lang w:val="en"/>
        </w:rPr>
        <w:t xml:space="preserve">Valuations Sub-Committee:  </w:t>
      </w:r>
      <w:r>
        <w:rPr>
          <w:rFonts w:ascii="Arial" w:eastAsia="Calibri" w:hAnsi="Arial" w:cs="Arial"/>
          <w:noProof/>
          <w:sz w:val="22"/>
          <w:szCs w:val="22"/>
        </w:rPr>
        <w:t>The Valuations sub-committee is a s</w:t>
      </w:r>
      <w:r w:rsidRPr="00946235">
        <w:rPr>
          <w:rFonts w:ascii="Arial" w:eastAsia="Calibri" w:hAnsi="Arial" w:cs="Arial"/>
          <w:noProof/>
          <w:sz w:val="22"/>
          <w:szCs w:val="22"/>
        </w:rPr>
        <w:t xml:space="preserve">ub-committee of the Finance and Audit Committee </w:t>
      </w:r>
      <w:r>
        <w:rPr>
          <w:rFonts w:ascii="Arial" w:eastAsia="Calibri" w:hAnsi="Arial" w:cs="Arial"/>
          <w:noProof/>
          <w:sz w:val="22"/>
          <w:szCs w:val="22"/>
        </w:rPr>
        <w:t xml:space="preserve">and </w:t>
      </w:r>
      <w:r w:rsidRPr="00946235">
        <w:rPr>
          <w:rFonts w:ascii="Arial" w:eastAsia="Calibri" w:hAnsi="Arial" w:cs="Arial"/>
          <w:noProof/>
          <w:sz w:val="22"/>
          <w:szCs w:val="22"/>
        </w:rPr>
        <w:t>report</w:t>
      </w:r>
      <w:r>
        <w:rPr>
          <w:rFonts w:ascii="Arial" w:eastAsia="Calibri" w:hAnsi="Arial" w:cs="Arial"/>
          <w:noProof/>
          <w:sz w:val="22"/>
          <w:szCs w:val="22"/>
        </w:rPr>
        <w:t>s into the Finance and Audit Committee of the Board and the Investment Committee.</w:t>
      </w:r>
      <w:r w:rsidRPr="00946235">
        <w:rPr>
          <w:rFonts w:ascii="Arial" w:hAnsi="Arial" w:cs="Arial"/>
          <w:sz w:val="22"/>
          <w:szCs w:val="22"/>
        </w:rPr>
        <w:t xml:space="preserve"> </w:t>
      </w:r>
      <w:r w:rsidRPr="00946235">
        <w:rPr>
          <w:rFonts w:ascii="Arial" w:eastAsia="Calibri" w:hAnsi="Arial" w:cs="Arial"/>
          <w:noProof/>
          <w:sz w:val="22"/>
          <w:szCs w:val="22"/>
        </w:rPr>
        <w:t xml:space="preserve">The </w:t>
      </w:r>
      <w:r>
        <w:rPr>
          <w:rFonts w:ascii="Arial" w:eastAsia="Calibri" w:hAnsi="Arial" w:cs="Arial"/>
          <w:noProof/>
          <w:sz w:val="22"/>
          <w:szCs w:val="22"/>
        </w:rPr>
        <w:t>Valuations sub-committee</w:t>
      </w:r>
      <w:r w:rsidRPr="00946235">
        <w:rPr>
          <w:rFonts w:ascii="Arial" w:eastAsia="Calibri" w:hAnsi="Arial" w:cs="Arial"/>
          <w:noProof/>
          <w:sz w:val="22"/>
          <w:szCs w:val="22"/>
        </w:rPr>
        <w:t xml:space="preserve"> has been established to advise</w:t>
      </w:r>
      <w:r>
        <w:rPr>
          <w:rFonts w:ascii="Arial" w:eastAsia="Calibri" w:hAnsi="Arial" w:cs="Arial"/>
          <w:noProof/>
          <w:sz w:val="22"/>
          <w:szCs w:val="22"/>
        </w:rPr>
        <w:t xml:space="preserve"> the Fund</w:t>
      </w:r>
      <w:r w:rsidRPr="00946235">
        <w:rPr>
          <w:rFonts w:ascii="Arial" w:eastAsia="Calibri" w:hAnsi="Arial" w:cs="Arial"/>
          <w:noProof/>
          <w:sz w:val="22"/>
          <w:szCs w:val="22"/>
        </w:rPr>
        <w:t xml:space="preserve"> on the relatively complex matter of the valuation of the unlisted investments of the Fund</w:t>
      </w:r>
      <w:r>
        <w:rPr>
          <w:rFonts w:ascii="Arial" w:eastAsia="Calibri" w:hAnsi="Arial" w:cs="Arial"/>
          <w:noProof/>
          <w:sz w:val="22"/>
          <w:szCs w:val="22"/>
        </w:rPr>
        <w:t xml:space="preserve"> managed by the PIC</w:t>
      </w:r>
      <w:r w:rsidRPr="00946235">
        <w:rPr>
          <w:rFonts w:ascii="Arial" w:eastAsia="Calibri" w:hAnsi="Arial" w:cs="Arial"/>
          <w:noProof/>
          <w:sz w:val="22"/>
          <w:szCs w:val="22"/>
        </w:rPr>
        <w:t xml:space="preserve">. </w:t>
      </w:r>
    </w:p>
    <w:p w:rsidR="00E64319" w:rsidRPr="00C41825" w:rsidRDefault="00E64319" w:rsidP="00E64319">
      <w:pPr>
        <w:spacing w:before="100" w:beforeAutospacing="1" w:after="100" w:afterAutospacing="1" w:line="276" w:lineRule="auto"/>
        <w:ind w:left="709"/>
        <w:jc w:val="both"/>
        <w:rPr>
          <w:rFonts w:ascii="Arial" w:eastAsia="Calibri" w:hAnsi="Arial" w:cs="Arial"/>
          <w:noProof/>
          <w:sz w:val="22"/>
          <w:szCs w:val="22"/>
        </w:rPr>
      </w:pPr>
      <w:r>
        <w:rPr>
          <w:rFonts w:ascii="Arial" w:eastAsia="Calibri" w:hAnsi="Arial" w:cs="Arial"/>
          <w:noProof/>
          <w:sz w:val="22"/>
          <w:szCs w:val="22"/>
        </w:rPr>
        <w:t>Management Committees:</w:t>
      </w:r>
    </w:p>
    <w:p w:rsidR="00E64319" w:rsidRPr="0074487E" w:rsidRDefault="00E64319" w:rsidP="00E64319">
      <w:pPr>
        <w:pStyle w:val="ListParagraph"/>
        <w:numPr>
          <w:ilvl w:val="0"/>
          <w:numId w:val="10"/>
        </w:numPr>
        <w:spacing w:before="100" w:beforeAutospacing="1" w:after="100" w:afterAutospacing="1" w:line="276" w:lineRule="auto"/>
        <w:ind w:left="1134" w:hanging="425"/>
        <w:jc w:val="both"/>
        <w:rPr>
          <w:rFonts w:ascii="Arial" w:eastAsia="Calibri" w:hAnsi="Arial" w:cs="Arial"/>
          <w:noProof/>
          <w:sz w:val="22"/>
          <w:szCs w:val="22"/>
          <w:lang w:val="en"/>
        </w:rPr>
      </w:pPr>
      <w:r w:rsidRPr="0074487E">
        <w:rPr>
          <w:rFonts w:ascii="Arial" w:eastAsia="Calibri" w:hAnsi="Arial" w:cs="Arial"/>
          <w:b/>
          <w:noProof/>
          <w:sz w:val="22"/>
          <w:szCs w:val="22"/>
          <w:lang w:val="en"/>
        </w:rPr>
        <w:t>The GEPF/ PIC Investment Liaison Committee</w:t>
      </w:r>
      <w:r w:rsidRPr="0074487E">
        <w:rPr>
          <w:rFonts w:ascii="Arial" w:eastAsia="Calibri" w:hAnsi="Arial" w:cs="Arial"/>
          <w:noProof/>
          <w:sz w:val="22"/>
          <w:szCs w:val="22"/>
          <w:lang w:val="en"/>
        </w:rPr>
        <w:t>: The purpose of the Investment Liaison Committee is to bridge the gap between the PIC and GEPF’s Investment Committees with the implementation of the GEPF’s reporting requirements, resolution of queries and implementation of the investment strategy as set out in the investment mandate of the GEPF. The Investment Liaison Committee also facilitates smooth investment processes and ease the flow of information and communication between the GEPF, PIC, Government Pensions Administration Agency and any third party service providers of the GEPF on investment matters.There are monthly meetings that are augmented by more regular interaction as necessary.</w:t>
      </w:r>
    </w:p>
    <w:p w:rsidR="00E64319" w:rsidRPr="00C41825" w:rsidRDefault="00E64319" w:rsidP="00E64319">
      <w:pPr>
        <w:pStyle w:val="ListParagraph"/>
        <w:rPr>
          <w:rFonts w:ascii="Arial" w:eastAsia="Calibri" w:hAnsi="Arial" w:cs="Arial"/>
          <w:noProof/>
          <w:sz w:val="22"/>
          <w:szCs w:val="22"/>
          <w:lang w:val="en"/>
        </w:rPr>
      </w:pPr>
    </w:p>
    <w:p w:rsidR="00E64319" w:rsidRPr="00C41825" w:rsidRDefault="00E64319" w:rsidP="00E64319">
      <w:pPr>
        <w:pStyle w:val="ListParagraph"/>
        <w:spacing w:before="100" w:beforeAutospacing="1" w:after="100" w:afterAutospacing="1" w:line="276" w:lineRule="auto"/>
        <w:ind w:left="1080"/>
        <w:jc w:val="both"/>
        <w:rPr>
          <w:rFonts w:ascii="Arial" w:eastAsia="Calibri" w:hAnsi="Arial" w:cs="Arial"/>
          <w:noProof/>
          <w:sz w:val="22"/>
          <w:szCs w:val="22"/>
          <w:lang w:val="en"/>
        </w:rPr>
      </w:pPr>
    </w:p>
    <w:p w:rsidR="00E64319" w:rsidRDefault="00E64319" w:rsidP="00E64319">
      <w:pPr>
        <w:pStyle w:val="ListParagraph"/>
        <w:numPr>
          <w:ilvl w:val="0"/>
          <w:numId w:val="10"/>
        </w:numPr>
        <w:spacing w:before="100" w:beforeAutospacing="1" w:after="100" w:afterAutospacing="1" w:line="276" w:lineRule="auto"/>
        <w:ind w:left="1134" w:hanging="425"/>
        <w:jc w:val="both"/>
        <w:rPr>
          <w:rFonts w:ascii="Arial" w:eastAsia="Calibri" w:hAnsi="Arial" w:cs="Arial"/>
          <w:noProof/>
          <w:sz w:val="22"/>
          <w:szCs w:val="22"/>
          <w:lang w:val="en-ZA"/>
        </w:rPr>
      </w:pPr>
      <w:r>
        <w:rPr>
          <w:rFonts w:ascii="Arial" w:eastAsia="Calibri" w:hAnsi="Arial" w:cs="Arial"/>
          <w:b/>
          <w:noProof/>
          <w:sz w:val="22"/>
          <w:szCs w:val="22"/>
          <w:lang w:val="en"/>
        </w:rPr>
        <w:t xml:space="preserve">The GEPF/ PIC </w:t>
      </w:r>
      <w:r w:rsidRPr="00FD0412">
        <w:rPr>
          <w:rFonts w:ascii="Arial" w:eastAsia="Calibri" w:hAnsi="Arial" w:cs="Arial"/>
          <w:b/>
          <w:noProof/>
          <w:sz w:val="22"/>
          <w:szCs w:val="22"/>
          <w:lang w:val="en"/>
        </w:rPr>
        <w:t xml:space="preserve">Exco to Exco committee: </w:t>
      </w:r>
      <w:r w:rsidRPr="00946235">
        <w:rPr>
          <w:rFonts w:ascii="Arial" w:eastAsia="Calibri" w:hAnsi="Arial" w:cs="Arial"/>
          <w:noProof/>
          <w:sz w:val="22"/>
          <w:szCs w:val="22"/>
          <w:lang w:val="en-ZA"/>
        </w:rPr>
        <w:t>The GEPF/PIC Exco-to-Exco was established to, subject to the direction of the Board of Directors, of both GEPF and PIC, exercise the powers and perform the duties conferred or imposed upon it by the Government Employees Pension Law</w:t>
      </w:r>
      <w:r>
        <w:rPr>
          <w:rFonts w:ascii="Arial" w:eastAsia="Calibri" w:hAnsi="Arial" w:cs="Arial"/>
          <w:noProof/>
          <w:sz w:val="22"/>
          <w:szCs w:val="22"/>
          <w:lang w:val="en-ZA"/>
        </w:rPr>
        <w:t xml:space="preserve">. Part of the duties include </w:t>
      </w:r>
      <w:r w:rsidRPr="00946235">
        <w:rPr>
          <w:rFonts w:ascii="Arial" w:eastAsia="Calibri" w:hAnsi="Arial" w:cs="Arial"/>
          <w:noProof/>
          <w:sz w:val="22"/>
          <w:szCs w:val="22"/>
          <w:lang w:val="en-ZA"/>
        </w:rPr>
        <w:t xml:space="preserve">oversight responsibilities in relation to the implementation of the GEPF Investment Management </w:t>
      </w:r>
      <w:r w:rsidRPr="00946235">
        <w:rPr>
          <w:rFonts w:ascii="Arial" w:eastAsia="Calibri" w:hAnsi="Arial" w:cs="Arial"/>
          <w:noProof/>
          <w:sz w:val="22"/>
          <w:szCs w:val="22"/>
          <w:lang w:val="en-ZA"/>
        </w:rPr>
        <w:lastRenderedPageBreak/>
        <w:t xml:space="preserve">Agreement. </w:t>
      </w:r>
      <w:r w:rsidRPr="00F97EA5">
        <w:rPr>
          <w:rFonts w:ascii="Arial" w:eastAsia="Calibri" w:hAnsi="Arial" w:cs="Arial"/>
          <w:noProof/>
          <w:sz w:val="22"/>
          <w:szCs w:val="22"/>
          <w:lang w:val="en-ZA"/>
        </w:rPr>
        <w:t>There are monthly meetings that are augmented by more regular interaction as necessary.</w:t>
      </w:r>
    </w:p>
    <w:p w:rsidR="00E64319" w:rsidRPr="00C41825" w:rsidRDefault="00E64319" w:rsidP="00E64319">
      <w:pPr>
        <w:pStyle w:val="ListParagraph"/>
        <w:spacing w:before="100" w:beforeAutospacing="1" w:after="100" w:afterAutospacing="1" w:line="276" w:lineRule="auto"/>
        <w:ind w:left="1080"/>
        <w:jc w:val="both"/>
        <w:rPr>
          <w:rFonts w:ascii="Arial" w:eastAsia="Calibri" w:hAnsi="Arial" w:cs="Arial"/>
          <w:noProof/>
          <w:sz w:val="22"/>
          <w:szCs w:val="22"/>
          <w:lang w:val="en-ZA"/>
        </w:rPr>
      </w:pPr>
    </w:p>
    <w:p w:rsidR="00E64319" w:rsidRPr="00FD0412" w:rsidRDefault="00E64319" w:rsidP="00E64319">
      <w:pPr>
        <w:pStyle w:val="ListParagraph"/>
        <w:numPr>
          <w:ilvl w:val="0"/>
          <w:numId w:val="10"/>
        </w:numPr>
        <w:spacing w:before="100" w:beforeAutospacing="1" w:after="100" w:afterAutospacing="1" w:line="276" w:lineRule="auto"/>
        <w:ind w:left="1134" w:hanging="425"/>
        <w:jc w:val="both"/>
        <w:rPr>
          <w:rFonts w:ascii="Arial" w:eastAsia="Calibri" w:hAnsi="Arial" w:cs="Arial"/>
          <w:b/>
          <w:iCs/>
          <w:noProof/>
          <w:sz w:val="22"/>
          <w:szCs w:val="22"/>
        </w:rPr>
      </w:pPr>
      <w:r w:rsidRPr="00FD0412">
        <w:rPr>
          <w:rFonts w:ascii="Arial" w:eastAsia="Calibri" w:hAnsi="Arial" w:cs="Arial"/>
          <w:b/>
          <w:noProof/>
          <w:sz w:val="22"/>
          <w:szCs w:val="22"/>
          <w:lang w:val="en"/>
        </w:rPr>
        <w:t xml:space="preserve">ESG Working Committtee; </w:t>
      </w:r>
      <w:r>
        <w:rPr>
          <w:rFonts w:ascii="Arial" w:eastAsia="Calibri" w:hAnsi="Arial" w:cs="Arial"/>
          <w:iCs/>
          <w:noProof/>
          <w:sz w:val="22"/>
          <w:szCs w:val="22"/>
        </w:rPr>
        <w:t>The purpose of the ESG working committee</w:t>
      </w:r>
      <w:r w:rsidRPr="00FD0412">
        <w:rPr>
          <w:rFonts w:ascii="Arial" w:eastAsia="Calibri" w:hAnsi="Arial" w:cs="Arial"/>
          <w:iCs/>
          <w:noProof/>
          <w:sz w:val="22"/>
          <w:szCs w:val="22"/>
        </w:rPr>
        <w:t xml:space="preserve"> is to address the environmental, social and governance matters within the PIC and GEPF Investment Committees in order to implement the Responsible Investment strategy as set out in the investment mandate and investment beliefs of the GEPF</w:t>
      </w:r>
      <w:r>
        <w:rPr>
          <w:rFonts w:ascii="Arial" w:eastAsia="Calibri" w:hAnsi="Arial" w:cs="Arial"/>
          <w:iCs/>
          <w:noProof/>
          <w:sz w:val="22"/>
          <w:szCs w:val="22"/>
        </w:rPr>
        <w:t xml:space="preserve"> quartely</w:t>
      </w:r>
      <w:r w:rsidRPr="00FD0412">
        <w:rPr>
          <w:rFonts w:ascii="Arial" w:eastAsia="Calibri" w:hAnsi="Arial" w:cs="Arial"/>
          <w:iCs/>
          <w:noProof/>
          <w:sz w:val="22"/>
          <w:szCs w:val="22"/>
        </w:rPr>
        <w:t>.</w:t>
      </w:r>
    </w:p>
    <w:p w:rsidR="00E64319" w:rsidRDefault="00E64319" w:rsidP="00E64319">
      <w:pPr>
        <w:ind w:left="709" w:hanging="709"/>
        <w:rPr>
          <w:rFonts w:ascii="Arial" w:hAnsi="Arial" w:cs="Arial"/>
          <w:color w:val="000000" w:themeColor="text1"/>
          <w:sz w:val="22"/>
          <w:szCs w:val="22"/>
        </w:rPr>
      </w:pPr>
      <w:r w:rsidRPr="00E64319">
        <w:rPr>
          <w:rFonts w:ascii="Arial" w:eastAsia="Calibri" w:hAnsi="Arial" w:cs="Arial"/>
          <w:noProof/>
          <w:color w:val="000000" w:themeColor="text1"/>
          <w:sz w:val="22"/>
          <w:szCs w:val="22"/>
          <w:lang w:val="en-ZA"/>
        </w:rPr>
        <w:t>(1) (a)</w:t>
      </w:r>
      <w:r w:rsidRPr="00E64319">
        <w:rPr>
          <w:rFonts w:ascii="Arial" w:eastAsia="Calibri" w:hAnsi="Arial" w:cs="Arial"/>
          <w:noProof/>
          <w:color w:val="000000" w:themeColor="text1"/>
          <w:sz w:val="22"/>
          <w:szCs w:val="22"/>
          <w:lang w:val="en-ZA"/>
        </w:rPr>
        <w:tab/>
      </w:r>
      <w:r>
        <w:rPr>
          <w:rFonts w:ascii="Arial" w:eastAsia="Calibri" w:hAnsi="Arial" w:cs="Arial"/>
          <w:noProof/>
          <w:color w:val="000000" w:themeColor="text1"/>
          <w:sz w:val="22"/>
          <w:szCs w:val="22"/>
          <w:lang w:val="en-ZA"/>
        </w:rPr>
        <w:t xml:space="preserve">The </w:t>
      </w:r>
      <w:r w:rsidRPr="00E64319">
        <w:rPr>
          <w:rFonts w:ascii="Arial" w:hAnsi="Arial" w:cs="Arial"/>
          <w:color w:val="000000" w:themeColor="text1"/>
          <w:sz w:val="22"/>
          <w:szCs w:val="22"/>
        </w:rPr>
        <w:t xml:space="preserve">GEPF has not written-off its investment in Steinhoff and </w:t>
      </w:r>
      <w:r>
        <w:rPr>
          <w:rFonts w:ascii="Arial" w:hAnsi="Arial" w:cs="Arial"/>
          <w:color w:val="000000" w:themeColor="text1"/>
          <w:sz w:val="22"/>
          <w:szCs w:val="22"/>
        </w:rPr>
        <w:t xml:space="preserve">this </w:t>
      </w:r>
      <w:r w:rsidRPr="00E64319">
        <w:rPr>
          <w:rFonts w:ascii="Arial" w:hAnsi="Arial" w:cs="Arial"/>
          <w:color w:val="000000" w:themeColor="text1"/>
          <w:sz w:val="22"/>
          <w:szCs w:val="22"/>
        </w:rPr>
        <w:t>is reflected at its current market value</w:t>
      </w:r>
    </w:p>
    <w:p w:rsidR="00E64319" w:rsidRDefault="00E64319" w:rsidP="00E64319">
      <w:pPr>
        <w:ind w:left="709" w:hanging="709"/>
        <w:rPr>
          <w:rFonts w:ascii="Arial" w:hAnsi="Arial" w:cs="Arial"/>
          <w:color w:val="000000" w:themeColor="text1"/>
          <w:sz w:val="22"/>
          <w:szCs w:val="22"/>
        </w:rPr>
      </w:pPr>
      <w:r>
        <w:rPr>
          <w:rFonts w:ascii="Arial" w:eastAsia="Calibri" w:hAnsi="Arial" w:cs="Arial"/>
          <w:noProof/>
          <w:color w:val="000000" w:themeColor="text1"/>
          <w:sz w:val="22"/>
          <w:szCs w:val="22"/>
          <w:lang w:val="en-ZA"/>
        </w:rPr>
        <w:t>(1) (b)</w:t>
      </w:r>
      <w:r>
        <w:rPr>
          <w:rFonts w:ascii="Arial" w:eastAsia="Calibri" w:hAnsi="Arial" w:cs="Arial"/>
          <w:noProof/>
          <w:color w:val="000000" w:themeColor="text1"/>
          <w:sz w:val="22"/>
          <w:szCs w:val="22"/>
          <w:lang w:val="en-ZA"/>
        </w:rPr>
        <w:tab/>
        <w:t xml:space="preserve">The GEPF’s investment in </w:t>
      </w:r>
      <w:r w:rsidRPr="00E64319">
        <w:rPr>
          <w:rFonts w:ascii="Arial" w:hAnsi="Arial" w:cs="Arial"/>
          <w:color w:val="000000" w:themeColor="text1"/>
          <w:sz w:val="22"/>
          <w:szCs w:val="22"/>
        </w:rPr>
        <w:t xml:space="preserve">Ayo Technologies is reflected at its current market value and has not been written-off. </w:t>
      </w:r>
    </w:p>
    <w:p w:rsidR="00E64319" w:rsidRDefault="00E64319" w:rsidP="00E64319">
      <w:pPr>
        <w:ind w:left="709" w:hanging="709"/>
        <w:rPr>
          <w:rFonts w:ascii="Arial" w:hAnsi="Arial" w:cs="Arial"/>
          <w:color w:val="000000" w:themeColor="text1"/>
          <w:sz w:val="22"/>
          <w:szCs w:val="22"/>
        </w:rPr>
      </w:pPr>
      <w:r>
        <w:rPr>
          <w:rFonts w:ascii="Arial" w:hAnsi="Arial" w:cs="Arial"/>
          <w:color w:val="000000" w:themeColor="text1"/>
          <w:sz w:val="22"/>
          <w:szCs w:val="22"/>
        </w:rPr>
        <w:t xml:space="preserve">(1) (c) </w:t>
      </w:r>
      <w:r>
        <w:rPr>
          <w:rFonts w:ascii="Arial" w:hAnsi="Arial" w:cs="Arial"/>
          <w:color w:val="000000" w:themeColor="text1"/>
          <w:sz w:val="22"/>
          <w:szCs w:val="22"/>
        </w:rPr>
        <w:tab/>
        <w:t xml:space="preserve">The </w:t>
      </w:r>
      <w:r w:rsidRPr="00E64319">
        <w:rPr>
          <w:rFonts w:ascii="Arial" w:hAnsi="Arial" w:cs="Arial"/>
          <w:color w:val="000000" w:themeColor="text1"/>
          <w:sz w:val="22"/>
          <w:szCs w:val="22"/>
        </w:rPr>
        <w:t xml:space="preserve">GEPF has not invested in </w:t>
      </w:r>
      <w:proofErr w:type="spellStart"/>
      <w:r w:rsidRPr="00E64319">
        <w:rPr>
          <w:rFonts w:ascii="Arial" w:hAnsi="Arial" w:cs="Arial"/>
          <w:color w:val="000000" w:themeColor="text1"/>
          <w:sz w:val="22"/>
          <w:szCs w:val="22"/>
        </w:rPr>
        <w:t>Sagamartha</w:t>
      </w:r>
      <w:proofErr w:type="spellEnd"/>
      <w:r w:rsidRPr="00E64319">
        <w:rPr>
          <w:rFonts w:ascii="Arial" w:hAnsi="Arial" w:cs="Arial"/>
          <w:color w:val="000000" w:themeColor="text1"/>
          <w:sz w:val="22"/>
          <w:szCs w:val="22"/>
        </w:rPr>
        <w:t>.  </w:t>
      </w:r>
    </w:p>
    <w:p w:rsidR="00E64319" w:rsidRPr="00E64319" w:rsidRDefault="00E64319" w:rsidP="00E64319">
      <w:pPr>
        <w:ind w:left="709" w:hanging="709"/>
        <w:rPr>
          <w:rFonts w:ascii="Arial" w:hAnsi="Arial" w:cs="Arial"/>
          <w:color w:val="000000" w:themeColor="text1"/>
          <w:sz w:val="22"/>
          <w:szCs w:val="22"/>
          <w:lang w:val="en-ZA"/>
        </w:rPr>
      </w:pPr>
      <w:r>
        <w:rPr>
          <w:rFonts w:ascii="Arial" w:hAnsi="Arial" w:cs="Arial"/>
          <w:color w:val="000000" w:themeColor="text1"/>
          <w:sz w:val="22"/>
          <w:szCs w:val="22"/>
        </w:rPr>
        <w:t>(1) (d)</w:t>
      </w:r>
      <w:r>
        <w:rPr>
          <w:rFonts w:ascii="Arial" w:hAnsi="Arial" w:cs="Arial"/>
          <w:color w:val="000000" w:themeColor="text1"/>
          <w:sz w:val="22"/>
          <w:szCs w:val="22"/>
        </w:rPr>
        <w:tab/>
        <w:t xml:space="preserve">The Fund’s investment in Independent Media </w:t>
      </w:r>
      <w:r w:rsidRPr="00E64319">
        <w:rPr>
          <w:rFonts w:ascii="Arial" w:hAnsi="Arial" w:cs="Arial"/>
          <w:color w:val="000000" w:themeColor="text1"/>
          <w:sz w:val="22"/>
          <w:szCs w:val="22"/>
        </w:rPr>
        <w:t xml:space="preserve">and VBS have been impaired and this is </w:t>
      </w:r>
      <w:r>
        <w:rPr>
          <w:rFonts w:ascii="Arial" w:hAnsi="Arial" w:cs="Arial"/>
          <w:color w:val="000000" w:themeColor="text1"/>
          <w:sz w:val="22"/>
          <w:szCs w:val="22"/>
        </w:rPr>
        <w:t xml:space="preserve">fully </w:t>
      </w:r>
      <w:r w:rsidRPr="00E64319">
        <w:rPr>
          <w:rFonts w:ascii="Arial" w:hAnsi="Arial" w:cs="Arial"/>
          <w:color w:val="000000" w:themeColor="text1"/>
          <w:sz w:val="22"/>
          <w:szCs w:val="22"/>
        </w:rPr>
        <w:t xml:space="preserve">disclosed in </w:t>
      </w:r>
      <w:proofErr w:type="gramStart"/>
      <w:r w:rsidRPr="00E64319">
        <w:rPr>
          <w:rFonts w:ascii="Arial" w:hAnsi="Arial" w:cs="Arial"/>
          <w:color w:val="000000" w:themeColor="text1"/>
          <w:sz w:val="22"/>
          <w:szCs w:val="22"/>
        </w:rPr>
        <w:t>the  </w:t>
      </w:r>
      <w:r>
        <w:rPr>
          <w:rFonts w:ascii="Arial" w:hAnsi="Arial" w:cs="Arial"/>
          <w:color w:val="000000" w:themeColor="text1"/>
          <w:sz w:val="22"/>
          <w:szCs w:val="22"/>
        </w:rPr>
        <w:t>GEPF’s</w:t>
      </w:r>
      <w:proofErr w:type="gramEnd"/>
      <w:r>
        <w:rPr>
          <w:rFonts w:ascii="Arial" w:hAnsi="Arial" w:cs="Arial"/>
          <w:color w:val="000000" w:themeColor="text1"/>
          <w:sz w:val="22"/>
          <w:szCs w:val="22"/>
        </w:rPr>
        <w:t xml:space="preserve"> 2017/18 </w:t>
      </w:r>
      <w:r w:rsidRPr="00E64319">
        <w:rPr>
          <w:rFonts w:ascii="Arial" w:hAnsi="Arial" w:cs="Arial"/>
          <w:color w:val="000000" w:themeColor="text1"/>
          <w:sz w:val="22"/>
          <w:szCs w:val="22"/>
        </w:rPr>
        <w:t>Annual Report with their respective impairment amounts of R1058320000 and R374700000.</w:t>
      </w:r>
    </w:p>
    <w:p w:rsidR="00D00339" w:rsidRDefault="00E64319" w:rsidP="00030C0E">
      <w:pPr>
        <w:spacing w:before="100" w:beforeAutospacing="1" w:after="100" w:afterAutospacing="1" w:line="276" w:lineRule="auto"/>
        <w:jc w:val="both"/>
        <w:rPr>
          <w:rFonts w:ascii="Arial" w:eastAsia="Calibri" w:hAnsi="Arial" w:cs="Arial"/>
          <w:noProof/>
          <w:color w:val="000000" w:themeColor="text1"/>
          <w:sz w:val="22"/>
          <w:szCs w:val="22"/>
          <w:lang w:val="en-ZA"/>
        </w:rPr>
      </w:pPr>
      <w:r>
        <w:rPr>
          <w:rFonts w:ascii="Arial" w:eastAsia="Calibri" w:hAnsi="Arial" w:cs="Arial"/>
          <w:noProof/>
          <w:color w:val="000000" w:themeColor="text1"/>
          <w:sz w:val="22"/>
          <w:szCs w:val="22"/>
          <w:lang w:val="en-ZA"/>
        </w:rPr>
        <w:t>(2)</w:t>
      </w:r>
      <w:r>
        <w:rPr>
          <w:rFonts w:ascii="Arial" w:eastAsia="Calibri" w:hAnsi="Arial" w:cs="Arial"/>
          <w:noProof/>
          <w:color w:val="000000" w:themeColor="text1"/>
          <w:sz w:val="22"/>
          <w:szCs w:val="22"/>
          <w:lang w:val="en-ZA"/>
        </w:rPr>
        <w:tab/>
        <w:t>Refer to the reply above.</w:t>
      </w:r>
    </w:p>
    <w:p w:rsidR="00E64319" w:rsidRPr="00E64319" w:rsidRDefault="00E64319" w:rsidP="00E64319">
      <w:pPr>
        <w:spacing w:before="100" w:beforeAutospacing="1" w:after="100" w:afterAutospacing="1" w:line="276" w:lineRule="auto"/>
        <w:ind w:left="720" w:hanging="720"/>
        <w:jc w:val="both"/>
        <w:rPr>
          <w:rFonts w:ascii="Arial" w:eastAsia="Calibri" w:hAnsi="Arial" w:cs="Arial"/>
          <w:noProof/>
          <w:color w:val="000000" w:themeColor="text1"/>
          <w:sz w:val="22"/>
          <w:szCs w:val="22"/>
          <w:lang w:val="en-ZA"/>
        </w:rPr>
      </w:pPr>
      <w:r>
        <w:rPr>
          <w:rFonts w:ascii="Arial" w:eastAsia="Calibri" w:hAnsi="Arial" w:cs="Arial"/>
          <w:noProof/>
          <w:color w:val="000000" w:themeColor="text1"/>
          <w:sz w:val="22"/>
          <w:szCs w:val="22"/>
          <w:lang w:val="en-ZA"/>
        </w:rPr>
        <w:t>(3)</w:t>
      </w:r>
      <w:r>
        <w:rPr>
          <w:rFonts w:ascii="Arial" w:eastAsia="Calibri" w:hAnsi="Arial" w:cs="Arial"/>
          <w:noProof/>
          <w:color w:val="000000" w:themeColor="text1"/>
          <w:sz w:val="22"/>
          <w:szCs w:val="22"/>
          <w:lang w:val="en-ZA"/>
        </w:rPr>
        <w:tab/>
        <w:t xml:space="preserve">The PIC does not have to inform the GEPF of the investment that it makes provided that it’s within the mandate.  </w:t>
      </w:r>
      <w:r w:rsidR="00E20F30">
        <w:rPr>
          <w:rFonts w:ascii="Arial" w:eastAsia="Calibri" w:hAnsi="Arial" w:cs="Arial"/>
          <w:noProof/>
          <w:color w:val="000000" w:themeColor="text1"/>
          <w:sz w:val="22"/>
          <w:szCs w:val="22"/>
          <w:lang w:val="en-ZA"/>
        </w:rPr>
        <w:t xml:space="preserve">Monitoring and </w:t>
      </w:r>
      <w:r>
        <w:rPr>
          <w:rFonts w:ascii="Arial" w:eastAsia="Calibri" w:hAnsi="Arial" w:cs="Arial"/>
          <w:noProof/>
          <w:color w:val="000000" w:themeColor="text1"/>
          <w:sz w:val="22"/>
          <w:szCs w:val="22"/>
          <w:lang w:val="en-ZA"/>
        </w:rPr>
        <w:t xml:space="preserve">reporting takes place </w:t>
      </w:r>
      <w:r w:rsidR="00E20F30">
        <w:rPr>
          <w:rFonts w:ascii="Arial" w:eastAsia="Calibri" w:hAnsi="Arial" w:cs="Arial"/>
          <w:noProof/>
          <w:color w:val="000000" w:themeColor="text1"/>
          <w:sz w:val="22"/>
          <w:szCs w:val="22"/>
          <w:lang w:val="en-ZA"/>
        </w:rPr>
        <w:t>as detailed above (answer to question 1).</w:t>
      </w:r>
    </w:p>
    <w:p w:rsidR="00D00339" w:rsidRDefault="00D00339" w:rsidP="00030C0E">
      <w:pPr>
        <w:spacing w:before="100" w:beforeAutospacing="1" w:after="100" w:afterAutospacing="1" w:line="276" w:lineRule="auto"/>
        <w:jc w:val="both"/>
        <w:rPr>
          <w:rFonts w:ascii="Arial" w:eastAsia="Calibri" w:hAnsi="Arial" w:cs="Arial"/>
          <w:noProof/>
          <w:sz w:val="22"/>
          <w:szCs w:val="22"/>
          <w:lang w:val="en-ZA"/>
        </w:rPr>
      </w:pPr>
    </w:p>
    <w:p w:rsidR="00030C0E" w:rsidRPr="002D499A" w:rsidRDefault="00030C0E" w:rsidP="00030C0E">
      <w:pPr>
        <w:spacing w:line="360" w:lineRule="auto"/>
        <w:jc w:val="both"/>
        <w:rPr>
          <w:rFonts w:ascii="Arial" w:hAnsi="Arial" w:cs="Arial"/>
          <w:sz w:val="22"/>
          <w:szCs w:val="22"/>
        </w:rPr>
      </w:pPr>
    </w:p>
    <w:p w:rsidR="00262F05" w:rsidRPr="002D499A" w:rsidRDefault="00262F05" w:rsidP="00030C0E">
      <w:pPr>
        <w:tabs>
          <w:tab w:val="left" w:pos="432"/>
          <w:tab w:val="left" w:pos="864"/>
        </w:tabs>
        <w:spacing w:line="360" w:lineRule="auto"/>
        <w:ind w:left="430" w:hanging="430"/>
        <w:jc w:val="both"/>
        <w:rPr>
          <w:rFonts w:ascii="Arial" w:hAnsi="Arial" w:cs="Arial"/>
          <w:sz w:val="22"/>
          <w:szCs w:val="22"/>
        </w:rPr>
      </w:pPr>
    </w:p>
    <w:p w:rsidR="008631A7" w:rsidRDefault="008631A7" w:rsidP="00FD2E66">
      <w:pPr>
        <w:spacing w:line="360" w:lineRule="auto"/>
        <w:jc w:val="both"/>
        <w:rPr>
          <w:rFonts w:ascii="Arial" w:hAnsi="Arial" w:cs="Arial"/>
          <w:sz w:val="22"/>
          <w:szCs w:val="22"/>
        </w:rPr>
      </w:pPr>
    </w:p>
    <w:p w:rsidR="00F903C3" w:rsidRDefault="00F903C3" w:rsidP="00FD2E66">
      <w:pPr>
        <w:spacing w:line="360" w:lineRule="auto"/>
        <w:jc w:val="both"/>
        <w:rPr>
          <w:rFonts w:ascii="Arial" w:hAnsi="Arial" w:cs="Arial"/>
          <w:sz w:val="22"/>
          <w:szCs w:val="22"/>
        </w:rPr>
      </w:pPr>
    </w:p>
    <w:p w:rsidR="00F903C3" w:rsidRDefault="00F903C3" w:rsidP="00FD2E66">
      <w:pPr>
        <w:spacing w:line="360" w:lineRule="auto"/>
        <w:jc w:val="both"/>
        <w:rPr>
          <w:rFonts w:ascii="Arial" w:hAnsi="Arial" w:cs="Arial"/>
          <w:sz w:val="22"/>
          <w:szCs w:val="22"/>
        </w:rPr>
      </w:pPr>
    </w:p>
    <w:p w:rsidR="00751942" w:rsidRPr="002D499A" w:rsidRDefault="00751942" w:rsidP="00FD2E66">
      <w:pPr>
        <w:tabs>
          <w:tab w:val="left" w:pos="432"/>
          <w:tab w:val="left" w:pos="864"/>
        </w:tabs>
        <w:spacing w:line="360" w:lineRule="auto"/>
        <w:jc w:val="both"/>
        <w:rPr>
          <w:rFonts w:ascii="Arial" w:hAnsi="Arial" w:cs="Arial"/>
          <w:b/>
          <w:sz w:val="22"/>
          <w:szCs w:val="22"/>
        </w:rPr>
      </w:pPr>
    </w:p>
    <w:sectPr w:rsidR="00751942" w:rsidRPr="002D499A"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C45"/>
    <w:multiLevelType w:val="hybridMultilevel"/>
    <w:tmpl w:val="CE74D44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F6E5459"/>
    <w:multiLevelType w:val="hybridMultilevel"/>
    <w:tmpl w:val="D0E68C8C"/>
    <w:lvl w:ilvl="0" w:tplc="E6F83D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80C71C6"/>
    <w:multiLevelType w:val="hybridMultilevel"/>
    <w:tmpl w:val="0F94FF12"/>
    <w:lvl w:ilvl="0" w:tplc="485413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AA21E9E"/>
    <w:multiLevelType w:val="hybridMultilevel"/>
    <w:tmpl w:val="86585AC6"/>
    <w:lvl w:ilvl="0" w:tplc="1C090003">
      <w:start w:val="1"/>
      <w:numFmt w:val="bullet"/>
      <w:lvlText w:val="o"/>
      <w:lvlJc w:val="left"/>
      <w:pPr>
        <w:tabs>
          <w:tab w:val="num" w:pos="775"/>
        </w:tabs>
        <w:ind w:left="775" w:hanging="360"/>
      </w:pPr>
      <w:rPr>
        <w:rFonts w:ascii="Courier New" w:hAnsi="Courier New" w:cs="Courier New" w:hint="default"/>
      </w:rPr>
    </w:lvl>
    <w:lvl w:ilvl="1" w:tplc="08090019">
      <w:start w:val="1"/>
      <w:numFmt w:val="lowerLetter"/>
      <w:lvlText w:val="%2."/>
      <w:lvlJc w:val="left"/>
      <w:pPr>
        <w:tabs>
          <w:tab w:val="num" w:pos="1495"/>
        </w:tabs>
        <w:ind w:left="1495" w:hanging="360"/>
      </w:pPr>
    </w:lvl>
    <w:lvl w:ilvl="2" w:tplc="0809001B" w:tentative="1">
      <w:start w:val="1"/>
      <w:numFmt w:val="lowerRoman"/>
      <w:lvlText w:val="%3."/>
      <w:lvlJc w:val="right"/>
      <w:pPr>
        <w:tabs>
          <w:tab w:val="num" w:pos="2215"/>
        </w:tabs>
        <w:ind w:left="2215" w:hanging="180"/>
      </w:pPr>
    </w:lvl>
    <w:lvl w:ilvl="3" w:tplc="0809000F" w:tentative="1">
      <w:start w:val="1"/>
      <w:numFmt w:val="decimal"/>
      <w:lvlText w:val="%4."/>
      <w:lvlJc w:val="left"/>
      <w:pPr>
        <w:tabs>
          <w:tab w:val="num" w:pos="2935"/>
        </w:tabs>
        <w:ind w:left="2935" w:hanging="360"/>
      </w:pPr>
    </w:lvl>
    <w:lvl w:ilvl="4" w:tplc="08090019" w:tentative="1">
      <w:start w:val="1"/>
      <w:numFmt w:val="lowerLetter"/>
      <w:lvlText w:val="%5."/>
      <w:lvlJc w:val="left"/>
      <w:pPr>
        <w:tabs>
          <w:tab w:val="num" w:pos="3655"/>
        </w:tabs>
        <w:ind w:left="3655" w:hanging="360"/>
      </w:pPr>
    </w:lvl>
    <w:lvl w:ilvl="5" w:tplc="0809001B" w:tentative="1">
      <w:start w:val="1"/>
      <w:numFmt w:val="lowerRoman"/>
      <w:lvlText w:val="%6."/>
      <w:lvlJc w:val="right"/>
      <w:pPr>
        <w:tabs>
          <w:tab w:val="num" w:pos="4375"/>
        </w:tabs>
        <w:ind w:left="4375" w:hanging="180"/>
      </w:pPr>
    </w:lvl>
    <w:lvl w:ilvl="6" w:tplc="0809000F" w:tentative="1">
      <w:start w:val="1"/>
      <w:numFmt w:val="decimal"/>
      <w:lvlText w:val="%7."/>
      <w:lvlJc w:val="left"/>
      <w:pPr>
        <w:tabs>
          <w:tab w:val="num" w:pos="5095"/>
        </w:tabs>
        <w:ind w:left="5095" w:hanging="360"/>
      </w:pPr>
    </w:lvl>
    <w:lvl w:ilvl="7" w:tplc="08090019" w:tentative="1">
      <w:start w:val="1"/>
      <w:numFmt w:val="lowerLetter"/>
      <w:lvlText w:val="%8."/>
      <w:lvlJc w:val="left"/>
      <w:pPr>
        <w:tabs>
          <w:tab w:val="num" w:pos="5815"/>
        </w:tabs>
        <w:ind w:left="5815" w:hanging="360"/>
      </w:pPr>
    </w:lvl>
    <w:lvl w:ilvl="8" w:tplc="0809001B" w:tentative="1">
      <w:start w:val="1"/>
      <w:numFmt w:val="lowerRoman"/>
      <w:lvlText w:val="%9."/>
      <w:lvlJc w:val="right"/>
      <w:pPr>
        <w:tabs>
          <w:tab w:val="num" w:pos="6535"/>
        </w:tabs>
        <w:ind w:left="6535" w:hanging="180"/>
      </w:pPr>
    </w:lvl>
  </w:abstractNum>
  <w:abstractNum w:abstractNumId="4" w15:restartNumberingAfterBreak="0">
    <w:nsid w:val="3FAB448B"/>
    <w:multiLevelType w:val="hybridMultilevel"/>
    <w:tmpl w:val="EB9A0D12"/>
    <w:lvl w:ilvl="0" w:tplc="42E007A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06B0313"/>
    <w:multiLevelType w:val="hybridMultilevel"/>
    <w:tmpl w:val="D960D5C2"/>
    <w:lvl w:ilvl="0" w:tplc="064AC91C">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10"/>
  </w:num>
  <w:num w:numId="6">
    <w:abstractNumId w:val="0"/>
  </w:num>
  <w:num w:numId="7">
    <w:abstractNumId w:val="3"/>
  </w:num>
  <w:num w:numId="8">
    <w:abstractNumId w:val="5"/>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30C0E"/>
    <w:rsid w:val="00041437"/>
    <w:rsid w:val="00042E4A"/>
    <w:rsid w:val="00053303"/>
    <w:rsid w:val="00063E28"/>
    <w:rsid w:val="0008596C"/>
    <w:rsid w:val="000A3C32"/>
    <w:rsid w:val="000B16E9"/>
    <w:rsid w:val="000C2BEF"/>
    <w:rsid w:val="000C3917"/>
    <w:rsid w:val="000C48D8"/>
    <w:rsid w:val="000E1B36"/>
    <w:rsid w:val="000F3B14"/>
    <w:rsid w:val="000F5178"/>
    <w:rsid w:val="00110946"/>
    <w:rsid w:val="00130348"/>
    <w:rsid w:val="001433AE"/>
    <w:rsid w:val="0014441E"/>
    <w:rsid w:val="0015727B"/>
    <w:rsid w:val="00197576"/>
    <w:rsid w:val="001B0917"/>
    <w:rsid w:val="001C1E62"/>
    <w:rsid w:val="001D4937"/>
    <w:rsid w:val="001E3FB5"/>
    <w:rsid w:val="001E6902"/>
    <w:rsid w:val="001F4B50"/>
    <w:rsid w:val="001F7560"/>
    <w:rsid w:val="002065BA"/>
    <w:rsid w:val="00207912"/>
    <w:rsid w:val="00223863"/>
    <w:rsid w:val="0022502D"/>
    <w:rsid w:val="00251791"/>
    <w:rsid w:val="00260251"/>
    <w:rsid w:val="00262F05"/>
    <w:rsid w:val="002855CE"/>
    <w:rsid w:val="0028635F"/>
    <w:rsid w:val="002867DD"/>
    <w:rsid w:val="002A4157"/>
    <w:rsid w:val="002B3B25"/>
    <w:rsid w:val="002B7345"/>
    <w:rsid w:val="002D499A"/>
    <w:rsid w:val="002F6E86"/>
    <w:rsid w:val="00326CF2"/>
    <w:rsid w:val="003421BD"/>
    <w:rsid w:val="00344553"/>
    <w:rsid w:val="00351BF5"/>
    <w:rsid w:val="00363DE7"/>
    <w:rsid w:val="0037795E"/>
    <w:rsid w:val="00393919"/>
    <w:rsid w:val="003A6BD5"/>
    <w:rsid w:val="003B0A2D"/>
    <w:rsid w:val="003E2711"/>
    <w:rsid w:val="003E6A8B"/>
    <w:rsid w:val="003F1329"/>
    <w:rsid w:val="00413ABE"/>
    <w:rsid w:val="00413C95"/>
    <w:rsid w:val="0043065E"/>
    <w:rsid w:val="00435EA2"/>
    <w:rsid w:val="004709BD"/>
    <w:rsid w:val="00472D86"/>
    <w:rsid w:val="00484737"/>
    <w:rsid w:val="00485B2E"/>
    <w:rsid w:val="00485F09"/>
    <w:rsid w:val="004A078E"/>
    <w:rsid w:val="004B1526"/>
    <w:rsid w:val="004C57A4"/>
    <w:rsid w:val="004F43FB"/>
    <w:rsid w:val="00503CF8"/>
    <w:rsid w:val="005141B3"/>
    <w:rsid w:val="00522B65"/>
    <w:rsid w:val="00532BB4"/>
    <w:rsid w:val="00533C35"/>
    <w:rsid w:val="00547158"/>
    <w:rsid w:val="0055290F"/>
    <w:rsid w:val="005706F1"/>
    <w:rsid w:val="00574E19"/>
    <w:rsid w:val="005E21D9"/>
    <w:rsid w:val="005E32E0"/>
    <w:rsid w:val="005E415D"/>
    <w:rsid w:val="005F11A2"/>
    <w:rsid w:val="005F6B76"/>
    <w:rsid w:val="00613FC6"/>
    <w:rsid w:val="006239F1"/>
    <w:rsid w:val="00624D20"/>
    <w:rsid w:val="0062770E"/>
    <w:rsid w:val="00637734"/>
    <w:rsid w:val="0064275F"/>
    <w:rsid w:val="00646E7C"/>
    <w:rsid w:val="00647EF2"/>
    <w:rsid w:val="00651616"/>
    <w:rsid w:val="00653A85"/>
    <w:rsid w:val="00675635"/>
    <w:rsid w:val="00685058"/>
    <w:rsid w:val="00685F0E"/>
    <w:rsid w:val="00693A64"/>
    <w:rsid w:val="006B61B0"/>
    <w:rsid w:val="006D1766"/>
    <w:rsid w:val="006D2C61"/>
    <w:rsid w:val="006E2FC4"/>
    <w:rsid w:val="007118EA"/>
    <w:rsid w:val="00726A9C"/>
    <w:rsid w:val="007359BF"/>
    <w:rsid w:val="00743F26"/>
    <w:rsid w:val="00751942"/>
    <w:rsid w:val="007540E0"/>
    <w:rsid w:val="007544A8"/>
    <w:rsid w:val="0076668B"/>
    <w:rsid w:val="007749D9"/>
    <w:rsid w:val="00780F57"/>
    <w:rsid w:val="007914E0"/>
    <w:rsid w:val="007A32AF"/>
    <w:rsid w:val="007B1BA1"/>
    <w:rsid w:val="007D4060"/>
    <w:rsid w:val="007E56A2"/>
    <w:rsid w:val="007F18AA"/>
    <w:rsid w:val="00803AC4"/>
    <w:rsid w:val="00813FF0"/>
    <w:rsid w:val="008270A1"/>
    <w:rsid w:val="008321A4"/>
    <w:rsid w:val="0084121D"/>
    <w:rsid w:val="00852DC3"/>
    <w:rsid w:val="008631A7"/>
    <w:rsid w:val="00876CBB"/>
    <w:rsid w:val="00891265"/>
    <w:rsid w:val="00897498"/>
    <w:rsid w:val="00897F0B"/>
    <w:rsid w:val="008C2559"/>
    <w:rsid w:val="008E01C3"/>
    <w:rsid w:val="008E4142"/>
    <w:rsid w:val="008F2375"/>
    <w:rsid w:val="00910B58"/>
    <w:rsid w:val="00911717"/>
    <w:rsid w:val="009163A5"/>
    <w:rsid w:val="009203A2"/>
    <w:rsid w:val="00950F95"/>
    <w:rsid w:val="00953363"/>
    <w:rsid w:val="0096007E"/>
    <w:rsid w:val="0097146E"/>
    <w:rsid w:val="00972601"/>
    <w:rsid w:val="0097786E"/>
    <w:rsid w:val="00987BC9"/>
    <w:rsid w:val="009A18A7"/>
    <w:rsid w:val="009E1AB2"/>
    <w:rsid w:val="009E24E9"/>
    <w:rsid w:val="00A02200"/>
    <w:rsid w:val="00A45FE5"/>
    <w:rsid w:val="00A512ED"/>
    <w:rsid w:val="00A51431"/>
    <w:rsid w:val="00A525F0"/>
    <w:rsid w:val="00A566A2"/>
    <w:rsid w:val="00A5731A"/>
    <w:rsid w:val="00A677C3"/>
    <w:rsid w:val="00A72B9B"/>
    <w:rsid w:val="00AA4ED9"/>
    <w:rsid w:val="00AD00CE"/>
    <w:rsid w:val="00AD5C9B"/>
    <w:rsid w:val="00AE07DE"/>
    <w:rsid w:val="00B03AF4"/>
    <w:rsid w:val="00B03DD6"/>
    <w:rsid w:val="00B20E37"/>
    <w:rsid w:val="00B31AAE"/>
    <w:rsid w:val="00B35E0C"/>
    <w:rsid w:val="00B447E6"/>
    <w:rsid w:val="00B62882"/>
    <w:rsid w:val="00B65F8F"/>
    <w:rsid w:val="00B70C7B"/>
    <w:rsid w:val="00B77F67"/>
    <w:rsid w:val="00B81176"/>
    <w:rsid w:val="00B913C7"/>
    <w:rsid w:val="00B95452"/>
    <w:rsid w:val="00BA517C"/>
    <w:rsid w:val="00BC0A3B"/>
    <w:rsid w:val="00BC3150"/>
    <w:rsid w:val="00BD31C6"/>
    <w:rsid w:val="00C25C7E"/>
    <w:rsid w:val="00C312EA"/>
    <w:rsid w:val="00C44C35"/>
    <w:rsid w:val="00C472D6"/>
    <w:rsid w:val="00C60822"/>
    <w:rsid w:val="00C87C5C"/>
    <w:rsid w:val="00C905A7"/>
    <w:rsid w:val="00CB4FDB"/>
    <w:rsid w:val="00CB51AD"/>
    <w:rsid w:val="00CC2F3E"/>
    <w:rsid w:val="00D00339"/>
    <w:rsid w:val="00D01E04"/>
    <w:rsid w:val="00D17D13"/>
    <w:rsid w:val="00D20E78"/>
    <w:rsid w:val="00D332C0"/>
    <w:rsid w:val="00D3403D"/>
    <w:rsid w:val="00D363B6"/>
    <w:rsid w:val="00D46E69"/>
    <w:rsid w:val="00D61422"/>
    <w:rsid w:val="00D761DC"/>
    <w:rsid w:val="00DB2463"/>
    <w:rsid w:val="00DC769E"/>
    <w:rsid w:val="00DD2A0D"/>
    <w:rsid w:val="00DD5296"/>
    <w:rsid w:val="00DE122E"/>
    <w:rsid w:val="00DE3CBB"/>
    <w:rsid w:val="00DE76CB"/>
    <w:rsid w:val="00DF0D26"/>
    <w:rsid w:val="00DF7D10"/>
    <w:rsid w:val="00E103FB"/>
    <w:rsid w:val="00E20F30"/>
    <w:rsid w:val="00E42AEE"/>
    <w:rsid w:val="00E533D0"/>
    <w:rsid w:val="00E55071"/>
    <w:rsid w:val="00E60EE1"/>
    <w:rsid w:val="00E64319"/>
    <w:rsid w:val="00E72F99"/>
    <w:rsid w:val="00E77DF6"/>
    <w:rsid w:val="00E8352B"/>
    <w:rsid w:val="00EA468F"/>
    <w:rsid w:val="00EA6A49"/>
    <w:rsid w:val="00EC4BF6"/>
    <w:rsid w:val="00ED3A3C"/>
    <w:rsid w:val="00F03C60"/>
    <w:rsid w:val="00F201B8"/>
    <w:rsid w:val="00F33FD4"/>
    <w:rsid w:val="00F36709"/>
    <w:rsid w:val="00F47FDD"/>
    <w:rsid w:val="00F51C17"/>
    <w:rsid w:val="00F5571A"/>
    <w:rsid w:val="00F65949"/>
    <w:rsid w:val="00F754AB"/>
    <w:rsid w:val="00F8147B"/>
    <w:rsid w:val="00F87EA6"/>
    <w:rsid w:val="00F903C3"/>
    <w:rsid w:val="00FB0ABC"/>
    <w:rsid w:val="00FC2064"/>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B4F42"/>
  <w15:docId w15:val="{D46ACF70-8897-46F4-B52A-B1AA9BA2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473331020">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1BF3-1255-40C6-B758-A3C1F55D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3</cp:revision>
  <cp:lastPrinted>2019-03-05T09:30:00Z</cp:lastPrinted>
  <dcterms:created xsi:type="dcterms:W3CDTF">2019-03-05T10:56:00Z</dcterms:created>
  <dcterms:modified xsi:type="dcterms:W3CDTF">2019-03-13T14:05:00Z</dcterms:modified>
</cp:coreProperties>
</file>