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D1" w:rsidRPr="00E112D1" w:rsidRDefault="00E112D1" w:rsidP="00E112D1">
      <w:pPr>
        <w:spacing w:before="100" w:beforeAutospacing="1" w:after="100" w:afterAutospacing="1" w:line="360" w:lineRule="auto"/>
        <w:jc w:val="both"/>
        <w:outlineLvl w:val="0"/>
        <w:rPr>
          <w:rFonts w:ascii="Arial" w:eastAsia="Calibri" w:hAnsi="Arial" w:cs="Arial"/>
          <w:b/>
          <w:lang w:val="en-ZA"/>
        </w:rPr>
      </w:pPr>
      <w:r w:rsidRPr="00E112D1">
        <w:rPr>
          <w:rFonts w:ascii="Arial" w:eastAsia="Calibri" w:hAnsi="Arial" w:cs="Arial"/>
          <w:b/>
          <w:lang w:val="en-ZA"/>
        </w:rPr>
        <w:t>National Assembly</w:t>
      </w:r>
    </w:p>
    <w:p w:rsidR="00E112D1" w:rsidRPr="00E112D1" w:rsidRDefault="00E112D1" w:rsidP="00E112D1">
      <w:pPr>
        <w:spacing w:before="100" w:beforeAutospacing="1" w:after="100" w:afterAutospacing="1" w:line="360" w:lineRule="auto"/>
        <w:jc w:val="both"/>
        <w:outlineLvl w:val="0"/>
        <w:rPr>
          <w:rFonts w:ascii="Arial" w:eastAsia="Calibri" w:hAnsi="Arial" w:cs="Arial"/>
          <w:b/>
          <w:lang w:val="en-ZA"/>
        </w:rPr>
      </w:pPr>
      <w:r w:rsidRPr="00E112D1">
        <w:rPr>
          <w:rFonts w:ascii="Arial" w:eastAsia="Calibri" w:hAnsi="Arial" w:cs="Arial"/>
          <w:b/>
          <w:lang w:val="en-ZA"/>
        </w:rPr>
        <w:t>Question Number: 2957</w:t>
      </w:r>
    </w:p>
    <w:p w:rsidR="00E112D1" w:rsidRPr="00E112D1" w:rsidRDefault="00E112D1" w:rsidP="00E112D1">
      <w:pPr>
        <w:spacing w:before="100" w:beforeAutospacing="1" w:after="100" w:afterAutospacing="1" w:line="360" w:lineRule="auto"/>
        <w:ind w:left="720" w:hanging="720"/>
        <w:jc w:val="both"/>
        <w:outlineLvl w:val="0"/>
        <w:rPr>
          <w:rFonts w:ascii="Arial" w:hAnsi="Arial" w:cs="Arial"/>
          <w:b/>
        </w:rPr>
      </w:pPr>
      <w:r w:rsidRPr="00E112D1">
        <w:rPr>
          <w:rFonts w:ascii="Arial" w:hAnsi="Arial" w:cs="Arial"/>
          <w:b/>
        </w:rPr>
        <w:t xml:space="preserve">Ms N </w:t>
      </w:r>
      <w:proofErr w:type="spellStart"/>
      <w:r w:rsidRPr="00E112D1">
        <w:rPr>
          <w:rFonts w:ascii="Arial" w:hAnsi="Arial" w:cs="Arial"/>
          <w:b/>
        </w:rPr>
        <w:t>Nolutshungu</w:t>
      </w:r>
      <w:proofErr w:type="spellEnd"/>
      <w:r w:rsidRPr="00E112D1">
        <w:rPr>
          <w:rFonts w:ascii="Arial" w:hAnsi="Arial" w:cs="Arial"/>
          <w:b/>
        </w:rPr>
        <w:t xml:space="preserve"> (EFF) to ask the Minister of Transport:</w:t>
      </w:r>
    </w:p>
    <w:p w:rsidR="00E112D1" w:rsidRPr="00E112D1" w:rsidRDefault="00E112D1" w:rsidP="00E112D1">
      <w:pPr>
        <w:spacing w:before="100" w:beforeAutospacing="1" w:after="100" w:afterAutospacing="1" w:line="360" w:lineRule="auto"/>
        <w:ind w:left="709" w:firstLine="11"/>
        <w:jc w:val="both"/>
        <w:rPr>
          <w:rFonts w:ascii="Arial" w:hAnsi="Arial" w:cs="Arial"/>
        </w:rPr>
      </w:pPr>
      <w:r w:rsidRPr="00E112D1">
        <w:rPr>
          <w:rFonts w:ascii="Arial" w:hAnsi="Arial" w:cs="Arial"/>
        </w:rPr>
        <w:t xml:space="preserve">(a) On what basis was the route for the N2 Wild Coast toll road selected, (b) what </w:t>
      </w:r>
      <w:r w:rsidRPr="00E112D1">
        <w:rPr>
          <w:rFonts w:ascii="Arial" w:hAnsi="Arial" w:cs="Arial"/>
          <w:color w:val="000000"/>
        </w:rPr>
        <w:t>factors</w:t>
      </w:r>
      <w:r w:rsidRPr="00E112D1">
        <w:rPr>
          <w:rFonts w:ascii="Arial" w:hAnsi="Arial" w:cs="Arial"/>
        </w:rPr>
        <w:t xml:space="preserve"> were taken into </w:t>
      </w:r>
      <w:r w:rsidRPr="00E112D1">
        <w:rPr>
          <w:rFonts w:ascii="Arial" w:hAnsi="Arial" w:cs="Arial"/>
          <w:color w:val="000000"/>
        </w:rPr>
        <w:t>consideration</w:t>
      </w:r>
      <w:r w:rsidRPr="00E112D1">
        <w:rPr>
          <w:rFonts w:ascii="Arial" w:hAnsi="Arial" w:cs="Arial"/>
        </w:rPr>
        <w:t xml:space="preserve"> when the selection was made, (c) were there any other alternative routes that were considered for the toll road and (d) what are the reasons that the alternative routes were not chosen?</w:t>
      </w:r>
      <w:r w:rsidRPr="00E112D1">
        <w:rPr>
          <w:rFonts w:ascii="Arial" w:hAnsi="Arial" w:cs="Arial"/>
        </w:rPr>
        <w:tab/>
      </w:r>
      <w:r w:rsidRPr="00E112D1">
        <w:rPr>
          <w:rFonts w:ascii="Arial" w:hAnsi="Arial" w:cs="Arial"/>
        </w:rPr>
        <w:tab/>
      </w:r>
      <w:r w:rsidRPr="00E112D1">
        <w:rPr>
          <w:rFonts w:ascii="Arial" w:hAnsi="Arial" w:cs="Arial"/>
        </w:rPr>
        <w:tab/>
      </w:r>
      <w:r w:rsidRPr="00E112D1">
        <w:rPr>
          <w:rFonts w:ascii="Arial" w:hAnsi="Arial" w:cs="Arial"/>
        </w:rPr>
        <w:tab/>
      </w:r>
    </w:p>
    <w:p w:rsidR="00E112D1" w:rsidRPr="00E112D1" w:rsidRDefault="00E112D1" w:rsidP="00E112D1">
      <w:pPr>
        <w:spacing w:before="100" w:beforeAutospacing="1" w:after="100" w:afterAutospacing="1" w:line="360" w:lineRule="auto"/>
        <w:ind w:left="8629" w:firstLine="11"/>
        <w:jc w:val="both"/>
        <w:rPr>
          <w:rFonts w:ascii="Arial" w:hAnsi="Arial" w:cs="Arial"/>
          <w:b/>
        </w:rPr>
      </w:pPr>
      <w:r w:rsidRPr="00E112D1">
        <w:rPr>
          <w:rFonts w:ascii="Arial" w:hAnsi="Arial" w:cs="Arial"/>
          <w:b/>
        </w:rPr>
        <w:t>NW3269E</w:t>
      </w:r>
    </w:p>
    <w:p w:rsidR="00E112D1" w:rsidRPr="00E112D1" w:rsidRDefault="00E112D1" w:rsidP="00E112D1">
      <w:pPr>
        <w:spacing w:before="100" w:beforeAutospacing="1" w:after="100" w:afterAutospacing="1" w:line="360" w:lineRule="auto"/>
        <w:jc w:val="both"/>
        <w:outlineLvl w:val="0"/>
        <w:rPr>
          <w:rFonts w:ascii="Arial" w:eastAsia="Calibri" w:hAnsi="Arial" w:cs="Arial"/>
          <w:b/>
          <w:lang w:val="en-ZA"/>
        </w:rPr>
      </w:pPr>
      <w:r w:rsidRPr="00E112D1">
        <w:rPr>
          <w:rFonts w:ascii="Arial" w:eastAsia="Calibri" w:hAnsi="Arial" w:cs="Arial"/>
          <w:b/>
          <w:lang w:val="en-ZA"/>
        </w:rPr>
        <w:t>REPLY</w:t>
      </w:r>
      <w:r>
        <w:rPr>
          <w:rFonts w:ascii="Arial" w:eastAsia="Calibri" w:hAnsi="Arial" w:cs="Arial"/>
          <w:b/>
          <w:lang w:val="en-ZA"/>
        </w:rPr>
        <w:t>:</w:t>
      </w:r>
    </w:p>
    <w:p w:rsidR="00E112D1" w:rsidRPr="00E112D1" w:rsidRDefault="00E112D1" w:rsidP="00E112D1">
      <w:pPr>
        <w:pStyle w:val="ListParagraph"/>
        <w:numPr>
          <w:ilvl w:val="0"/>
          <w:numId w:val="32"/>
        </w:numPr>
        <w:spacing w:before="100" w:beforeAutospacing="1" w:after="100" w:afterAutospacing="1" w:line="360" w:lineRule="auto"/>
        <w:jc w:val="both"/>
        <w:outlineLvl w:val="0"/>
        <w:rPr>
          <w:rFonts w:ascii="Arial" w:eastAsia="Calibri" w:hAnsi="Arial" w:cs="Arial"/>
          <w:color w:val="000000" w:themeColor="text1"/>
          <w:lang w:val="en-ZA"/>
        </w:rPr>
      </w:pPr>
      <w:r w:rsidRPr="00E112D1">
        <w:rPr>
          <w:rFonts w:ascii="Arial" w:eastAsia="Calibri" w:hAnsi="Arial" w:cs="Arial"/>
          <w:color w:val="000000" w:themeColor="text1"/>
          <w:lang w:val="en-ZA"/>
        </w:rPr>
        <w:t>The route was selected on the basis of a best-case</w:t>
      </w:r>
      <w:bookmarkStart w:id="0" w:name="_GoBack"/>
      <w:bookmarkEnd w:id="0"/>
      <w:r w:rsidRPr="00E112D1">
        <w:rPr>
          <w:rFonts w:ascii="Arial" w:eastAsia="Calibri" w:hAnsi="Arial" w:cs="Arial"/>
          <w:color w:val="000000" w:themeColor="text1"/>
          <w:lang w:val="en-ZA"/>
        </w:rPr>
        <w:t xml:space="preserve"> scenario taking into consideration various combinations of factors that generally get analysed during the route determination process. This generally includes trade-offs, minimising impact, maximising benefits and avoiding certain risks. </w:t>
      </w:r>
    </w:p>
    <w:p w:rsidR="00E112D1" w:rsidRPr="00E112D1" w:rsidRDefault="00E112D1" w:rsidP="00E112D1">
      <w:pPr>
        <w:pStyle w:val="ListParagraph"/>
        <w:spacing w:before="100" w:beforeAutospacing="1" w:after="100" w:afterAutospacing="1" w:line="360" w:lineRule="auto"/>
        <w:jc w:val="both"/>
        <w:outlineLvl w:val="0"/>
        <w:rPr>
          <w:rFonts w:ascii="Arial" w:eastAsia="Calibri" w:hAnsi="Arial" w:cs="Arial"/>
          <w:color w:val="FF0000"/>
          <w:lang w:val="en-ZA"/>
        </w:rPr>
      </w:pPr>
    </w:p>
    <w:p w:rsidR="00E112D1" w:rsidRPr="00E112D1" w:rsidRDefault="00E112D1" w:rsidP="00E112D1">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sidRPr="00E112D1">
        <w:rPr>
          <w:rFonts w:ascii="Arial" w:eastAsia="Calibri" w:hAnsi="Arial" w:cs="Arial"/>
          <w:lang w:val="en-ZA"/>
        </w:rPr>
        <w:t>The factors included construction and operational costs, which are heavily influence by the terrain of the chosen alignment (i.e. shortest river crossings, avoiding steep gradients, etc), economic impacts (i.e. shortest most direct route to reduce user costs, etc), environmental impacts (avoiding environmental sensitive area or reducing impact to minimum, etc) and social impacts (i.e. number of people to be resettled, employment opportunities, etc).</w:t>
      </w:r>
    </w:p>
    <w:p w:rsidR="00E112D1" w:rsidRPr="00E112D1" w:rsidRDefault="00E112D1" w:rsidP="00E112D1">
      <w:pPr>
        <w:pStyle w:val="ListParagraph"/>
        <w:spacing w:line="360" w:lineRule="auto"/>
        <w:jc w:val="both"/>
        <w:rPr>
          <w:rFonts w:ascii="Arial" w:eastAsia="Calibri" w:hAnsi="Arial" w:cs="Arial"/>
          <w:lang w:val="en-ZA"/>
        </w:rPr>
      </w:pPr>
    </w:p>
    <w:p w:rsidR="00E112D1" w:rsidRPr="00E112D1" w:rsidRDefault="00E112D1" w:rsidP="00E112D1">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sidRPr="00E112D1">
        <w:rPr>
          <w:rFonts w:ascii="Arial" w:eastAsia="Calibri" w:hAnsi="Arial" w:cs="Arial"/>
          <w:lang w:val="en-ZA"/>
        </w:rPr>
        <w:t>Numerous alternatives were investigated and considered during the initial scoping study. These were taken through a public participation process and were narrowed down to a total of 6 alternatives for the detailed Environmental Impact Assessment specialist studies, public participation process and associated reports. For more details on these alternatives please see the detailed reports on the SANRAL website (</w:t>
      </w:r>
      <w:hyperlink r:id="rId8" w:history="1">
        <w:r w:rsidRPr="00E112D1">
          <w:rPr>
            <w:rStyle w:val="Hyperlink"/>
            <w:rFonts w:ascii="Arial" w:eastAsia="Calibri" w:hAnsi="Arial" w:cs="Arial"/>
          </w:rPr>
          <w:t>www.sanral.co.za</w:t>
        </w:r>
      </w:hyperlink>
      <w:r w:rsidRPr="00E112D1">
        <w:rPr>
          <w:rFonts w:ascii="Arial" w:eastAsia="Calibri" w:hAnsi="Arial" w:cs="Arial"/>
          <w:lang w:val="en-ZA"/>
        </w:rPr>
        <w:t>) under Major Projects&gt;&gt;N2 Wild Coast Toll Road.</w:t>
      </w:r>
    </w:p>
    <w:p w:rsidR="00E112D1" w:rsidRPr="00E112D1" w:rsidRDefault="00E112D1" w:rsidP="00E112D1">
      <w:pPr>
        <w:pStyle w:val="ListParagraph"/>
        <w:spacing w:line="360" w:lineRule="auto"/>
        <w:jc w:val="both"/>
        <w:rPr>
          <w:rFonts w:ascii="Arial" w:eastAsia="Calibri" w:hAnsi="Arial" w:cs="Arial"/>
          <w:lang w:val="en-ZA"/>
        </w:rPr>
      </w:pPr>
    </w:p>
    <w:p w:rsidR="00E112D1" w:rsidRPr="00E112D1" w:rsidRDefault="00E112D1" w:rsidP="00E112D1">
      <w:pPr>
        <w:pStyle w:val="ListParagraph"/>
        <w:numPr>
          <w:ilvl w:val="0"/>
          <w:numId w:val="32"/>
        </w:numPr>
        <w:spacing w:before="100" w:beforeAutospacing="1" w:after="100" w:afterAutospacing="1" w:line="360" w:lineRule="auto"/>
        <w:jc w:val="both"/>
        <w:outlineLvl w:val="0"/>
        <w:rPr>
          <w:rFonts w:ascii="Arial" w:eastAsia="Calibri" w:hAnsi="Arial" w:cs="Arial"/>
          <w:lang w:val="en-ZA"/>
        </w:rPr>
      </w:pPr>
      <w:r w:rsidRPr="00E112D1">
        <w:rPr>
          <w:rFonts w:ascii="Arial" w:eastAsia="Calibri" w:hAnsi="Arial" w:cs="Arial"/>
          <w:lang w:val="en-ZA"/>
        </w:rPr>
        <w:t xml:space="preserve">The route finally given a positive Record of Decision by the Department of Environmental Affairs through the EIA process offered the best trade-off of all the competing factors and impacts between all the alternatives considered. </w:t>
      </w:r>
      <w:r w:rsidRPr="00E112D1">
        <w:rPr>
          <w:rFonts w:ascii="Arial" w:eastAsia="Calibri" w:hAnsi="Arial" w:cs="Arial"/>
          <w:color w:val="000000" w:themeColor="text1"/>
          <w:lang w:val="en-ZA"/>
        </w:rPr>
        <w:t>The details are captured in the reports referenced above.</w:t>
      </w:r>
    </w:p>
    <w:p w:rsidR="001068D0" w:rsidRPr="00826AF8" w:rsidRDefault="001068D0" w:rsidP="00826AF8"/>
    <w:sectPr w:rsidR="001068D0" w:rsidRPr="00826AF8" w:rsidSect="006E550E">
      <w:footerReference w:type="default" r:id="rId9"/>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FE" w:rsidRDefault="00B74DFE" w:rsidP="00DB1508">
      <w:pPr>
        <w:spacing w:after="0" w:line="240" w:lineRule="auto"/>
      </w:pPr>
      <w:r>
        <w:separator/>
      </w:r>
    </w:p>
  </w:endnote>
  <w:endnote w:type="continuationSeparator" w:id="0">
    <w:p w:rsidR="00B74DFE" w:rsidRDefault="00B74DFE"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8514FD">
        <w:pPr>
          <w:pStyle w:val="Footer"/>
          <w:jc w:val="right"/>
        </w:pPr>
        <w:r>
          <w:fldChar w:fldCharType="begin"/>
        </w:r>
        <w:r w:rsidR="00890920">
          <w:instrText xml:space="preserve"> PAGE   \* MERGEFORMAT </w:instrText>
        </w:r>
        <w:r>
          <w:fldChar w:fldCharType="separate"/>
        </w:r>
        <w:r w:rsidR="00A6030E">
          <w:rPr>
            <w:noProof/>
          </w:rPr>
          <w:t>1</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FE" w:rsidRDefault="00B74DFE" w:rsidP="00DB1508">
      <w:pPr>
        <w:spacing w:after="0" w:line="240" w:lineRule="auto"/>
      </w:pPr>
      <w:r>
        <w:separator/>
      </w:r>
    </w:p>
  </w:footnote>
  <w:footnote w:type="continuationSeparator" w:id="0">
    <w:p w:rsidR="00B74DFE" w:rsidRDefault="00B74DFE"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2">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1">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
  </w:num>
  <w:num w:numId="2">
    <w:abstractNumId w:val="28"/>
  </w:num>
  <w:num w:numId="3">
    <w:abstractNumId w:val="1"/>
  </w:num>
  <w:num w:numId="4">
    <w:abstractNumId w:val="20"/>
  </w:num>
  <w:num w:numId="5">
    <w:abstractNumId w:val="19"/>
  </w:num>
  <w:num w:numId="6">
    <w:abstractNumId w:val="4"/>
  </w:num>
  <w:num w:numId="7">
    <w:abstractNumId w:val="0"/>
  </w:num>
  <w:num w:numId="8">
    <w:abstractNumId w:val="30"/>
  </w:num>
  <w:num w:numId="9">
    <w:abstractNumId w:val="22"/>
  </w:num>
  <w:num w:numId="10">
    <w:abstractNumId w:val="26"/>
  </w:num>
  <w:num w:numId="11">
    <w:abstractNumId w:val="17"/>
  </w:num>
  <w:num w:numId="12">
    <w:abstractNumId w:val="7"/>
  </w:num>
  <w:num w:numId="13">
    <w:abstractNumId w:val="3"/>
  </w:num>
  <w:num w:numId="14">
    <w:abstractNumId w:val="15"/>
  </w:num>
  <w:num w:numId="15">
    <w:abstractNumId w:val="24"/>
  </w:num>
  <w:num w:numId="16">
    <w:abstractNumId w:val="8"/>
  </w:num>
  <w:num w:numId="17">
    <w:abstractNumId w:val="14"/>
  </w:num>
  <w:num w:numId="18">
    <w:abstractNumId w:val="10"/>
  </w:num>
  <w:num w:numId="19">
    <w:abstractNumId w:val="31"/>
  </w:num>
  <w:num w:numId="20">
    <w:abstractNumId w:val="18"/>
  </w:num>
  <w:num w:numId="21">
    <w:abstractNumId w:val="16"/>
  </w:num>
  <w:num w:numId="22">
    <w:abstractNumId w:val="21"/>
  </w:num>
  <w:num w:numId="23">
    <w:abstractNumId w:val="13"/>
  </w:num>
  <w:num w:numId="24">
    <w:abstractNumId w:val="6"/>
  </w:num>
  <w:num w:numId="25">
    <w:abstractNumId w:val="27"/>
  </w:num>
  <w:num w:numId="26">
    <w:abstractNumId w:val="23"/>
  </w:num>
  <w:num w:numId="27">
    <w:abstractNumId w:val="29"/>
  </w:num>
  <w:num w:numId="28">
    <w:abstractNumId w:val="2"/>
  </w:num>
  <w:num w:numId="29">
    <w:abstractNumId w:val="25"/>
  </w:num>
  <w:num w:numId="30">
    <w:abstractNumId w:val="12"/>
  </w:num>
  <w:num w:numId="31">
    <w:abstractNumId w:val="11"/>
  </w:num>
  <w:num w:numId="3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14FD"/>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30E"/>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ral.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AFD8-BDF7-4AFB-AB60-06238AC7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2018-03-19T09:22:00Z</cp:lastPrinted>
  <dcterms:created xsi:type="dcterms:W3CDTF">2019-02-14T11:30:00Z</dcterms:created>
  <dcterms:modified xsi:type="dcterms:W3CDTF">2019-02-14T11:30:00Z</dcterms:modified>
</cp:coreProperties>
</file>