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27" w:rsidRPr="00BA3AC1" w:rsidRDefault="007A6927" w:rsidP="003B77A3">
      <w:pPr>
        <w:contextualSpacing/>
        <w:jc w:val="center"/>
        <w:rPr>
          <w:rFonts w:eastAsia="Times New Roman"/>
          <w:sz w:val="24"/>
          <w:szCs w:val="24"/>
        </w:rPr>
      </w:pPr>
      <w:r w:rsidRPr="00BA3AC1">
        <w:rPr>
          <w:rFonts w:eastAsia="Times New Roman"/>
          <w:b/>
          <w:bCs/>
          <w:sz w:val="24"/>
          <w:szCs w:val="24"/>
        </w:rPr>
        <w:t>NATIONAL ASSEMBLY</w:t>
      </w:r>
    </w:p>
    <w:p w:rsidR="007A6927" w:rsidRPr="00BA3AC1" w:rsidRDefault="007A6927" w:rsidP="003B77A3">
      <w:pPr>
        <w:contextualSpacing/>
        <w:jc w:val="center"/>
        <w:rPr>
          <w:rFonts w:eastAsia="Times New Roman"/>
          <w:b/>
          <w:sz w:val="24"/>
          <w:szCs w:val="24"/>
        </w:rPr>
      </w:pPr>
      <w:r w:rsidRPr="00BA3AC1">
        <w:rPr>
          <w:rFonts w:eastAsia="Times New Roman"/>
          <w:b/>
          <w:sz w:val="24"/>
          <w:szCs w:val="24"/>
        </w:rPr>
        <w:t>WRITTEN REPLY</w:t>
      </w:r>
    </w:p>
    <w:p w:rsidR="007A6927" w:rsidRPr="00BA3AC1" w:rsidRDefault="007A6927" w:rsidP="003B77A3">
      <w:pPr>
        <w:contextualSpacing/>
        <w:rPr>
          <w:rFonts w:eastAsia="Times New Roman"/>
          <w:sz w:val="24"/>
          <w:szCs w:val="24"/>
        </w:rPr>
      </w:pPr>
    </w:p>
    <w:p w:rsidR="007A6927" w:rsidRPr="00BA3AC1" w:rsidRDefault="007A6927" w:rsidP="003B77A3">
      <w:pPr>
        <w:contextualSpacing/>
        <w:rPr>
          <w:rFonts w:eastAsia="Times New Roman"/>
          <w:b/>
          <w:bCs/>
          <w:sz w:val="24"/>
          <w:szCs w:val="24"/>
        </w:rPr>
      </w:pPr>
    </w:p>
    <w:p w:rsidR="007A6927" w:rsidRPr="00BA3AC1" w:rsidRDefault="007A6927" w:rsidP="003B77A3">
      <w:pPr>
        <w:contextualSpacing/>
        <w:jc w:val="both"/>
        <w:rPr>
          <w:rFonts w:eastAsia="Times New Roman"/>
          <w:b/>
          <w:bCs/>
          <w:sz w:val="24"/>
          <w:szCs w:val="24"/>
        </w:rPr>
      </w:pPr>
      <w:r w:rsidRPr="00BA3AC1">
        <w:rPr>
          <w:rFonts w:eastAsia="Times New Roman"/>
          <w:b/>
          <w:bCs/>
          <w:sz w:val="24"/>
          <w:szCs w:val="24"/>
        </w:rPr>
        <w:t>QUESTION 2947</w:t>
      </w:r>
    </w:p>
    <w:p w:rsidR="007A6927" w:rsidRPr="00BA3AC1" w:rsidRDefault="007A6927" w:rsidP="003B77A3">
      <w:pPr>
        <w:contextualSpacing/>
        <w:jc w:val="both"/>
        <w:rPr>
          <w:rFonts w:eastAsia="Times New Roman"/>
          <w:sz w:val="24"/>
          <w:szCs w:val="24"/>
        </w:rPr>
      </w:pPr>
      <w:r w:rsidRPr="00BA3AC1">
        <w:rPr>
          <w:rFonts w:eastAsia="Times New Roman"/>
          <w:sz w:val="24"/>
          <w:szCs w:val="24"/>
        </w:rPr>
        <w:t> </w:t>
      </w:r>
    </w:p>
    <w:p w:rsidR="007A6927" w:rsidRPr="00BA3AC1" w:rsidRDefault="007A6927" w:rsidP="003B77A3">
      <w:pPr>
        <w:contextualSpacing/>
        <w:rPr>
          <w:rFonts w:eastAsia="Times New Roman"/>
          <w:b/>
          <w:bCs/>
          <w:sz w:val="24"/>
          <w:szCs w:val="24"/>
          <w:u w:val="single"/>
        </w:rPr>
      </w:pPr>
      <w:r w:rsidRPr="00BA3AC1">
        <w:rPr>
          <w:rFonts w:eastAsia="Times New Roman"/>
          <w:b/>
          <w:bCs/>
          <w:sz w:val="24"/>
          <w:szCs w:val="24"/>
          <w:u w:val="single"/>
        </w:rPr>
        <w:t>INTERNAL QUESTION PAPER [No 31 - 2022 SIXTH PARLIAMENT]</w:t>
      </w:r>
      <w:r w:rsidRPr="00BA3AC1">
        <w:rPr>
          <w:rFonts w:eastAsia="Times New Roman"/>
          <w:b/>
          <w:bCs/>
          <w:sz w:val="24"/>
          <w:szCs w:val="24"/>
          <w:u w:val="single"/>
        </w:rPr>
        <w:br/>
        <w:t>DATE OF PUBLICATION: 09 SEPTEMBER 2022</w:t>
      </w:r>
    </w:p>
    <w:p w:rsidR="007A6927" w:rsidRPr="00BA3AC1" w:rsidRDefault="007A6927" w:rsidP="003B77A3">
      <w:pPr>
        <w:autoSpaceDE w:val="0"/>
        <w:autoSpaceDN w:val="0"/>
        <w:adjustRightInd w:val="0"/>
        <w:jc w:val="both"/>
        <w:rPr>
          <w:rFonts w:eastAsia="Calibri"/>
          <w:b/>
          <w:bCs/>
          <w:color w:val="000000"/>
          <w:sz w:val="24"/>
          <w:szCs w:val="24"/>
        </w:rPr>
      </w:pPr>
    </w:p>
    <w:p w:rsidR="007A6927" w:rsidRPr="00BA3AC1" w:rsidRDefault="007A6927" w:rsidP="003B77A3">
      <w:pPr>
        <w:ind w:left="709" w:right="26" w:hanging="709"/>
        <w:jc w:val="both"/>
        <w:rPr>
          <w:rFonts w:eastAsia="Calibri"/>
          <w:b/>
          <w:sz w:val="24"/>
          <w:szCs w:val="24"/>
        </w:rPr>
      </w:pPr>
      <w:r w:rsidRPr="00BA3AC1">
        <w:rPr>
          <w:rFonts w:eastAsia="Calibri"/>
          <w:b/>
          <w:sz w:val="24"/>
          <w:szCs w:val="24"/>
        </w:rPr>
        <w:t xml:space="preserve">2947. </w:t>
      </w:r>
      <w:r w:rsidRPr="00BA3AC1">
        <w:rPr>
          <w:rFonts w:eastAsia="Calibri"/>
          <w:b/>
          <w:sz w:val="24"/>
          <w:szCs w:val="24"/>
        </w:rPr>
        <w:tab/>
        <w:t xml:space="preserve">Mr N P Masipa (DA) to ask the Minister of Agriculture, Land Reform and Rural Development </w:t>
      </w:r>
    </w:p>
    <w:p w:rsidR="007A6927" w:rsidRPr="00BA3AC1" w:rsidRDefault="007A6927" w:rsidP="003B77A3">
      <w:pPr>
        <w:ind w:left="709" w:right="26" w:hanging="709"/>
        <w:jc w:val="both"/>
        <w:rPr>
          <w:rFonts w:eastAsia="Calibri"/>
          <w:sz w:val="24"/>
          <w:szCs w:val="24"/>
        </w:rPr>
      </w:pPr>
    </w:p>
    <w:p w:rsidR="007A6927" w:rsidRPr="00BA3AC1" w:rsidRDefault="007A6927" w:rsidP="003B77A3">
      <w:pPr>
        <w:numPr>
          <w:ilvl w:val="0"/>
          <w:numId w:val="1"/>
        </w:numPr>
        <w:autoSpaceDE w:val="0"/>
        <w:autoSpaceDN w:val="0"/>
        <w:adjustRightInd w:val="0"/>
        <w:ind w:right="26"/>
        <w:contextualSpacing/>
        <w:jc w:val="both"/>
        <w:rPr>
          <w:rFonts w:eastAsia="Calibri"/>
          <w:sz w:val="24"/>
          <w:szCs w:val="24"/>
        </w:rPr>
      </w:pPr>
      <w:r w:rsidRPr="00BA3AC1">
        <w:rPr>
          <w:rFonts w:eastAsia="Calibri"/>
          <w:sz w:val="24"/>
          <w:szCs w:val="24"/>
        </w:rPr>
        <w:t>What are the (a) relevant details and (b) dates of the roll-out of the implementation plan of the Agriculture and Agro-Processing Master Plan (AAMP);</w:t>
      </w:r>
    </w:p>
    <w:p w:rsidR="007A6927" w:rsidRPr="00BA3AC1" w:rsidRDefault="007A6927" w:rsidP="003B77A3">
      <w:pPr>
        <w:autoSpaceDE w:val="0"/>
        <w:autoSpaceDN w:val="0"/>
        <w:adjustRightInd w:val="0"/>
        <w:ind w:left="709" w:right="26"/>
        <w:contextualSpacing/>
        <w:jc w:val="both"/>
        <w:rPr>
          <w:rFonts w:eastAsia="Calibri"/>
          <w:sz w:val="24"/>
          <w:szCs w:val="24"/>
        </w:rPr>
      </w:pPr>
    </w:p>
    <w:p w:rsidR="007A6927" w:rsidRPr="00BA3AC1" w:rsidRDefault="007A6927" w:rsidP="003B77A3">
      <w:pPr>
        <w:numPr>
          <w:ilvl w:val="0"/>
          <w:numId w:val="1"/>
        </w:numPr>
        <w:autoSpaceDE w:val="0"/>
        <w:autoSpaceDN w:val="0"/>
        <w:adjustRightInd w:val="0"/>
        <w:ind w:right="26"/>
        <w:contextualSpacing/>
        <w:jc w:val="both"/>
        <w:rPr>
          <w:rFonts w:eastAsia="Calibri"/>
          <w:sz w:val="24"/>
          <w:szCs w:val="24"/>
        </w:rPr>
      </w:pPr>
      <w:r w:rsidRPr="00BA3AC1">
        <w:rPr>
          <w:rFonts w:eastAsia="Calibri"/>
          <w:sz w:val="24"/>
          <w:szCs w:val="24"/>
        </w:rPr>
        <w:t>Whether she has found that the provinces are ready for the roll-out of the implementation plan; if not, what is the position in this regard; if so, (a) how is the reprioritisation of budget intended to work to ensure that there is a complete alignment and (b) from which budget line item will the reprioritised funds be sourced to implement the AAMP?</w:t>
      </w:r>
      <w:r w:rsidRPr="00BA3AC1">
        <w:rPr>
          <w:rFonts w:eastAsia="Calibri"/>
          <w:sz w:val="24"/>
          <w:szCs w:val="24"/>
        </w:rPr>
        <w:tab/>
        <w:t xml:space="preserve">                                                    </w:t>
      </w:r>
      <w:r w:rsidR="003B77A3">
        <w:rPr>
          <w:rFonts w:eastAsia="Calibri"/>
          <w:sz w:val="24"/>
          <w:szCs w:val="24"/>
        </w:rPr>
        <w:t xml:space="preserve">      </w:t>
      </w:r>
      <w:r w:rsidRPr="00BA3AC1">
        <w:rPr>
          <w:rFonts w:eastAsia="Calibri"/>
          <w:b/>
          <w:bCs/>
          <w:sz w:val="24"/>
          <w:szCs w:val="24"/>
        </w:rPr>
        <w:t>NW3579E</w:t>
      </w:r>
    </w:p>
    <w:p w:rsidR="007A6927" w:rsidRPr="00BA3AC1" w:rsidRDefault="007A6927" w:rsidP="003B77A3">
      <w:pPr>
        <w:contextualSpacing/>
        <w:jc w:val="both"/>
        <w:rPr>
          <w:rFonts w:eastAsia="Calibri"/>
          <w:b/>
          <w:sz w:val="24"/>
          <w:szCs w:val="24"/>
        </w:rPr>
      </w:pPr>
    </w:p>
    <w:p w:rsidR="007A6927" w:rsidRPr="00BA3AC1" w:rsidRDefault="007A6927" w:rsidP="003B77A3">
      <w:pPr>
        <w:contextualSpacing/>
        <w:jc w:val="both"/>
        <w:rPr>
          <w:rFonts w:eastAsia="Calibri"/>
          <w:b/>
          <w:sz w:val="24"/>
          <w:szCs w:val="24"/>
        </w:rPr>
      </w:pPr>
    </w:p>
    <w:p w:rsidR="007A6927" w:rsidRPr="00BA3AC1" w:rsidRDefault="007A6927" w:rsidP="003B77A3">
      <w:pPr>
        <w:contextualSpacing/>
        <w:jc w:val="both"/>
        <w:rPr>
          <w:rFonts w:eastAsia="Times New Roman"/>
          <w:sz w:val="24"/>
          <w:szCs w:val="24"/>
          <w:lang w:val="en-US"/>
        </w:rPr>
      </w:pPr>
      <w:r w:rsidRPr="00BA3AC1">
        <w:rPr>
          <w:rFonts w:eastAsia="Calibri"/>
          <w:b/>
          <w:sz w:val="24"/>
          <w:szCs w:val="24"/>
        </w:rPr>
        <w:t>THE MINISTER OF AGRICULTURE, LAND REFORM AND RURAL DEVELOPMENT:</w:t>
      </w:r>
    </w:p>
    <w:p w:rsidR="007A6927" w:rsidRPr="00BA3AC1" w:rsidRDefault="007A6927" w:rsidP="003B77A3">
      <w:pPr>
        <w:tabs>
          <w:tab w:val="left" w:pos="142"/>
        </w:tabs>
        <w:jc w:val="both"/>
        <w:rPr>
          <w:rFonts w:eastAsia="Calibri"/>
          <w:b/>
          <w:sz w:val="24"/>
          <w:szCs w:val="24"/>
        </w:rPr>
      </w:pPr>
    </w:p>
    <w:p w:rsidR="003B77A3" w:rsidRDefault="00B94BD4" w:rsidP="001B5D50">
      <w:pPr>
        <w:numPr>
          <w:ilvl w:val="0"/>
          <w:numId w:val="2"/>
        </w:numPr>
        <w:ind w:left="709" w:hanging="709"/>
        <w:jc w:val="both"/>
        <w:rPr>
          <w:rFonts w:eastAsia="Calibri"/>
          <w:sz w:val="24"/>
          <w:szCs w:val="24"/>
        </w:rPr>
      </w:pPr>
      <w:r w:rsidRPr="00B94BD4">
        <w:rPr>
          <w:rFonts w:eastAsia="Calibri"/>
          <w:sz w:val="24"/>
          <w:szCs w:val="24"/>
        </w:rPr>
        <w:t>T</w:t>
      </w:r>
      <w:r w:rsidR="003B77A3" w:rsidRPr="00B94BD4">
        <w:rPr>
          <w:rFonts w:eastAsia="Calibri"/>
          <w:sz w:val="24"/>
          <w:szCs w:val="24"/>
        </w:rPr>
        <w:t>he</w:t>
      </w:r>
      <w:r w:rsidR="003B77A3">
        <w:rPr>
          <w:rFonts w:eastAsia="Calibri"/>
          <w:sz w:val="24"/>
          <w:szCs w:val="24"/>
        </w:rPr>
        <w:t xml:space="preserve"> Agriculture and Agro-Processing Master Plan (AAMP) was signed off on 12 May 2022, subject to an agreement among social partners, that all “unfinished business”, including details of the monitoring and implementation plan of the AAMP, be captured in Track 2 of the AAMP:</w:t>
      </w:r>
    </w:p>
    <w:p w:rsidR="003B77A3" w:rsidRDefault="003B77A3" w:rsidP="003B77A3">
      <w:pPr>
        <w:tabs>
          <w:tab w:val="left" w:pos="142"/>
        </w:tabs>
        <w:ind w:left="502"/>
        <w:jc w:val="both"/>
        <w:rPr>
          <w:rFonts w:eastAsia="Calibri"/>
          <w:sz w:val="24"/>
          <w:szCs w:val="24"/>
        </w:rPr>
      </w:pPr>
    </w:p>
    <w:p w:rsidR="001B5D50" w:rsidRPr="005D5EC6" w:rsidRDefault="003B77A3" w:rsidP="001B5D50">
      <w:pPr>
        <w:numPr>
          <w:ilvl w:val="0"/>
          <w:numId w:val="3"/>
        </w:numPr>
        <w:tabs>
          <w:tab w:val="left" w:pos="142"/>
        </w:tabs>
        <w:ind w:left="1134" w:hanging="425"/>
        <w:jc w:val="both"/>
        <w:rPr>
          <w:rFonts w:eastAsia="Calibri"/>
          <w:sz w:val="24"/>
          <w:szCs w:val="24"/>
        </w:rPr>
      </w:pPr>
      <w:r w:rsidRPr="005D5EC6">
        <w:rPr>
          <w:rFonts w:eastAsia="Calibri"/>
          <w:sz w:val="24"/>
          <w:szCs w:val="24"/>
        </w:rPr>
        <w:t xml:space="preserve">The Department of Agriculture, Land Reform and Rural Development (DALRRD) has to date communicated and agreed to an approach towards </w:t>
      </w:r>
      <w:r>
        <w:rPr>
          <w:rFonts w:eastAsia="Calibri"/>
          <w:sz w:val="24"/>
          <w:szCs w:val="24"/>
        </w:rPr>
        <w:t xml:space="preserve">the finalisation of Track 2 and await social partners’ </w:t>
      </w:r>
      <w:r w:rsidRPr="005D5EC6">
        <w:rPr>
          <w:rFonts w:eastAsia="Calibri"/>
          <w:sz w:val="24"/>
          <w:szCs w:val="24"/>
        </w:rPr>
        <w:t xml:space="preserve">responses for </w:t>
      </w:r>
      <w:r>
        <w:rPr>
          <w:rFonts w:eastAsia="Calibri"/>
          <w:sz w:val="24"/>
          <w:szCs w:val="24"/>
        </w:rPr>
        <w:t>suitable dates to kick start the process</w:t>
      </w:r>
      <w:r w:rsidR="001B5D50">
        <w:rPr>
          <w:rFonts w:eastAsia="Calibri"/>
          <w:sz w:val="24"/>
          <w:szCs w:val="24"/>
        </w:rPr>
        <w:t xml:space="preserve">. </w:t>
      </w:r>
      <w:r w:rsidR="001B5D50" w:rsidRPr="005D5EC6">
        <w:rPr>
          <w:rFonts w:eastAsia="Calibri"/>
          <w:sz w:val="24"/>
          <w:szCs w:val="24"/>
        </w:rPr>
        <w:t>S</w:t>
      </w:r>
      <w:r w:rsidRPr="005D5EC6">
        <w:rPr>
          <w:rFonts w:eastAsia="Calibri"/>
          <w:sz w:val="24"/>
          <w:szCs w:val="24"/>
        </w:rPr>
        <w:t xml:space="preserve">ocial partners requested time to formulate a collective response to identified issues. </w:t>
      </w:r>
      <w:r w:rsidR="00B94BD4" w:rsidRPr="005D5EC6">
        <w:rPr>
          <w:rFonts w:eastAsia="Calibri"/>
          <w:sz w:val="24"/>
          <w:szCs w:val="24"/>
        </w:rPr>
        <w:t xml:space="preserve">DALRRD </w:t>
      </w:r>
      <w:r w:rsidRPr="005D5EC6">
        <w:rPr>
          <w:rFonts w:eastAsia="Calibri"/>
          <w:sz w:val="24"/>
          <w:szCs w:val="24"/>
        </w:rPr>
        <w:t>aim</w:t>
      </w:r>
      <w:r w:rsidR="00B94BD4" w:rsidRPr="005D5EC6">
        <w:rPr>
          <w:rFonts w:eastAsia="Calibri"/>
          <w:sz w:val="24"/>
          <w:szCs w:val="24"/>
        </w:rPr>
        <w:t>s</w:t>
      </w:r>
      <w:r w:rsidRPr="005D5EC6">
        <w:rPr>
          <w:rFonts w:eastAsia="Calibri"/>
          <w:sz w:val="24"/>
          <w:szCs w:val="24"/>
        </w:rPr>
        <w:t xml:space="preserve"> to finalise Track 2 for Cabinet approval by November 2022</w:t>
      </w:r>
      <w:r w:rsidR="005D5EC6" w:rsidRPr="005D5EC6">
        <w:rPr>
          <w:rFonts w:eastAsia="Calibri"/>
          <w:sz w:val="24"/>
          <w:szCs w:val="24"/>
        </w:rPr>
        <w:t xml:space="preserve"> </w:t>
      </w:r>
      <w:r w:rsidRPr="005D5EC6">
        <w:rPr>
          <w:rFonts w:eastAsia="Calibri"/>
          <w:sz w:val="24"/>
          <w:szCs w:val="24"/>
        </w:rPr>
        <w:t>subject to, and dependent on social partners reaching final agreement by end October.</w:t>
      </w:r>
    </w:p>
    <w:p w:rsidR="001B5D50" w:rsidRPr="005D5EC6" w:rsidRDefault="001B5D50" w:rsidP="001B5D50">
      <w:pPr>
        <w:tabs>
          <w:tab w:val="left" w:pos="142"/>
        </w:tabs>
        <w:ind w:left="1134"/>
        <w:jc w:val="both"/>
        <w:rPr>
          <w:rFonts w:eastAsia="Calibri"/>
          <w:sz w:val="24"/>
          <w:szCs w:val="24"/>
        </w:rPr>
      </w:pPr>
    </w:p>
    <w:p w:rsidR="003B77A3" w:rsidRPr="001B5D50" w:rsidRDefault="003B77A3" w:rsidP="001B5D50">
      <w:pPr>
        <w:numPr>
          <w:ilvl w:val="0"/>
          <w:numId w:val="3"/>
        </w:numPr>
        <w:tabs>
          <w:tab w:val="left" w:pos="142"/>
        </w:tabs>
        <w:ind w:left="1134" w:hanging="425"/>
        <w:jc w:val="both"/>
        <w:rPr>
          <w:rFonts w:eastAsia="Calibri"/>
          <w:sz w:val="24"/>
          <w:szCs w:val="24"/>
        </w:rPr>
      </w:pPr>
      <w:r w:rsidRPr="005D5EC6">
        <w:rPr>
          <w:rFonts w:eastAsia="Calibri"/>
          <w:sz w:val="24"/>
          <w:szCs w:val="24"/>
        </w:rPr>
        <w:t xml:space="preserve">The roll-out of the AAMP </w:t>
      </w:r>
      <w:r w:rsidR="00B94BD4" w:rsidRPr="005D5EC6">
        <w:rPr>
          <w:rFonts w:eastAsia="Calibri"/>
          <w:sz w:val="24"/>
          <w:szCs w:val="24"/>
        </w:rPr>
        <w:t xml:space="preserve">will follow </w:t>
      </w:r>
      <w:r w:rsidRPr="005D5EC6">
        <w:rPr>
          <w:rFonts w:eastAsia="Calibri"/>
          <w:sz w:val="24"/>
          <w:szCs w:val="24"/>
        </w:rPr>
        <w:t>the sign off</w:t>
      </w:r>
      <w:r w:rsidR="00DD63CD" w:rsidRPr="005D5EC6">
        <w:rPr>
          <w:rFonts w:eastAsia="Calibri"/>
          <w:sz w:val="24"/>
          <w:szCs w:val="24"/>
        </w:rPr>
        <w:t xml:space="preserve"> of </w:t>
      </w:r>
      <w:r w:rsidRPr="005D5EC6">
        <w:rPr>
          <w:rFonts w:eastAsia="Calibri"/>
          <w:sz w:val="24"/>
          <w:szCs w:val="24"/>
        </w:rPr>
        <w:t xml:space="preserve">Track 2, scheduled for November 2022. In preparation, the DALRRD is currently </w:t>
      </w:r>
      <w:r w:rsidRPr="001B5D50">
        <w:rPr>
          <w:rFonts w:eastAsia="Calibri"/>
          <w:sz w:val="24"/>
          <w:szCs w:val="24"/>
        </w:rPr>
        <w:t xml:space="preserve">in the process of finalising the operational plan of all government related AAMP commitments. The operational plan of government commitments will be finalised for Cabinet approval, along with Track 2. </w:t>
      </w:r>
    </w:p>
    <w:p w:rsidR="003B77A3" w:rsidRDefault="003B77A3" w:rsidP="003B77A3">
      <w:pPr>
        <w:tabs>
          <w:tab w:val="left" w:pos="142"/>
        </w:tabs>
        <w:ind w:left="862"/>
        <w:contextualSpacing/>
        <w:jc w:val="both"/>
        <w:rPr>
          <w:rFonts w:eastAsia="Calibri"/>
          <w:sz w:val="24"/>
          <w:szCs w:val="24"/>
        </w:rPr>
      </w:pPr>
    </w:p>
    <w:p w:rsidR="003B77A3" w:rsidRPr="005D5EC6" w:rsidRDefault="003B77A3" w:rsidP="001B5D50">
      <w:pPr>
        <w:numPr>
          <w:ilvl w:val="0"/>
          <w:numId w:val="2"/>
        </w:numPr>
        <w:tabs>
          <w:tab w:val="left" w:pos="142"/>
        </w:tabs>
        <w:ind w:left="709" w:hanging="709"/>
        <w:jc w:val="both"/>
        <w:rPr>
          <w:rFonts w:eastAsia="Calibri"/>
          <w:sz w:val="24"/>
          <w:szCs w:val="24"/>
        </w:rPr>
      </w:pPr>
      <w:r>
        <w:rPr>
          <w:rFonts w:eastAsia="Calibri"/>
          <w:sz w:val="24"/>
          <w:szCs w:val="24"/>
        </w:rPr>
        <w:t xml:space="preserve">Yes. </w:t>
      </w:r>
      <w:r w:rsidRPr="005D5EC6">
        <w:rPr>
          <w:rFonts w:eastAsia="Calibri"/>
          <w:sz w:val="24"/>
          <w:szCs w:val="24"/>
        </w:rPr>
        <w:t>DALRRD is in the process of consulting on a new integrated approach to programme and project approvals</w:t>
      </w:r>
      <w:r w:rsidR="005D5EC6" w:rsidRPr="005D5EC6">
        <w:rPr>
          <w:rFonts w:eastAsia="Calibri"/>
          <w:sz w:val="24"/>
          <w:szCs w:val="24"/>
        </w:rPr>
        <w:t xml:space="preserve"> </w:t>
      </w:r>
      <w:r w:rsidR="00B94BD4" w:rsidRPr="005D5EC6">
        <w:rPr>
          <w:rFonts w:eastAsia="Calibri"/>
          <w:sz w:val="24"/>
          <w:szCs w:val="24"/>
        </w:rPr>
        <w:t xml:space="preserve">and has </w:t>
      </w:r>
      <w:r w:rsidRPr="005D5EC6">
        <w:rPr>
          <w:rFonts w:eastAsia="Calibri"/>
          <w:sz w:val="24"/>
          <w:szCs w:val="24"/>
        </w:rPr>
        <w:t xml:space="preserve">found that provinces are not only capable, but eager to usher in the AAMP approach of aligning projects to identified AAMP related value chains. </w:t>
      </w:r>
    </w:p>
    <w:p w:rsidR="003B77A3" w:rsidRPr="005D5EC6" w:rsidRDefault="003B77A3" w:rsidP="003B77A3">
      <w:pPr>
        <w:tabs>
          <w:tab w:val="left" w:pos="142"/>
        </w:tabs>
        <w:ind w:left="851"/>
        <w:jc w:val="both"/>
        <w:rPr>
          <w:rFonts w:eastAsia="Calibri"/>
          <w:sz w:val="24"/>
          <w:szCs w:val="24"/>
        </w:rPr>
      </w:pPr>
    </w:p>
    <w:p w:rsidR="001B5D50" w:rsidRPr="005D5EC6" w:rsidRDefault="003B77A3" w:rsidP="001B5D50">
      <w:pPr>
        <w:numPr>
          <w:ilvl w:val="0"/>
          <w:numId w:val="4"/>
        </w:numPr>
        <w:tabs>
          <w:tab w:val="left" w:pos="142"/>
        </w:tabs>
        <w:ind w:left="1134" w:hanging="425"/>
        <w:jc w:val="both"/>
        <w:rPr>
          <w:rFonts w:eastAsia="Calibri"/>
          <w:bCs/>
          <w:sz w:val="24"/>
          <w:szCs w:val="24"/>
        </w:rPr>
      </w:pPr>
      <w:r w:rsidRPr="005D5EC6">
        <w:rPr>
          <w:rFonts w:eastAsia="Calibri"/>
          <w:sz w:val="24"/>
          <w:szCs w:val="24"/>
        </w:rPr>
        <w:t xml:space="preserve">Unfunded AAMP commitments will be prioritised through DALRRD’s </w:t>
      </w:r>
      <w:r w:rsidR="005D5EC6" w:rsidRPr="005D5EC6">
        <w:rPr>
          <w:rFonts w:eastAsia="Calibri"/>
          <w:sz w:val="24"/>
          <w:szCs w:val="24"/>
        </w:rPr>
        <w:t>MTEF process, and unspent</w:t>
      </w:r>
      <w:r w:rsidRPr="005D5EC6">
        <w:rPr>
          <w:rFonts w:eastAsia="Calibri"/>
          <w:sz w:val="24"/>
          <w:szCs w:val="24"/>
        </w:rPr>
        <w:t xml:space="preserve"> funds will be channelled towards AAMP priorities.</w:t>
      </w:r>
    </w:p>
    <w:p w:rsidR="001B5D50" w:rsidRPr="005D5EC6" w:rsidRDefault="001B5D50" w:rsidP="001B5D50">
      <w:pPr>
        <w:tabs>
          <w:tab w:val="left" w:pos="142"/>
        </w:tabs>
        <w:ind w:left="1134"/>
        <w:jc w:val="both"/>
        <w:rPr>
          <w:rFonts w:eastAsia="Calibri"/>
          <w:bCs/>
          <w:sz w:val="24"/>
          <w:szCs w:val="24"/>
        </w:rPr>
      </w:pPr>
    </w:p>
    <w:p w:rsidR="00267EC3" w:rsidRPr="001B5D50" w:rsidRDefault="003B77A3" w:rsidP="001B5D50">
      <w:pPr>
        <w:numPr>
          <w:ilvl w:val="0"/>
          <w:numId w:val="4"/>
        </w:numPr>
        <w:tabs>
          <w:tab w:val="left" w:pos="142"/>
        </w:tabs>
        <w:ind w:left="1134" w:hanging="425"/>
        <w:jc w:val="both"/>
        <w:rPr>
          <w:rFonts w:eastAsia="Calibri"/>
          <w:bCs/>
          <w:sz w:val="24"/>
          <w:szCs w:val="24"/>
        </w:rPr>
      </w:pPr>
      <w:r w:rsidRPr="005D5EC6">
        <w:rPr>
          <w:rFonts w:eastAsia="Calibri"/>
          <w:sz w:val="24"/>
          <w:szCs w:val="24"/>
        </w:rPr>
        <w:t xml:space="preserve">The AAMP will not be funded by one specific line function but through </w:t>
      </w:r>
      <w:r w:rsidRPr="001B5D50">
        <w:rPr>
          <w:rFonts w:eastAsia="Calibri"/>
          <w:sz w:val="24"/>
          <w:szCs w:val="24"/>
        </w:rPr>
        <w:t>the existing budgets of all line functions.</w:t>
      </w:r>
    </w:p>
    <w:sectPr w:rsidR="00267EC3" w:rsidRPr="001B5D50" w:rsidSect="00B94BD4">
      <w:pgSz w:w="11906" w:h="16838"/>
      <w:pgMar w:top="709" w:right="991"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71B4"/>
    <w:multiLevelType w:val="hybridMultilevel"/>
    <w:tmpl w:val="B266A088"/>
    <w:lvl w:ilvl="0" w:tplc="39D6248A">
      <w:start w:val="1"/>
      <w:numFmt w:val="lowerLetter"/>
      <w:lvlText w:val="(%1)"/>
      <w:lvlJc w:val="left"/>
      <w:pPr>
        <w:ind w:left="1282" w:hanging="360"/>
      </w:pPr>
    </w:lvl>
    <w:lvl w:ilvl="1" w:tplc="1C090019">
      <w:start w:val="1"/>
      <w:numFmt w:val="lowerLetter"/>
      <w:lvlText w:val="%2."/>
      <w:lvlJc w:val="left"/>
      <w:pPr>
        <w:ind w:left="2002" w:hanging="360"/>
      </w:pPr>
    </w:lvl>
    <w:lvl w:ilvl="2" w:tplc="1C09001B">
      <w:start w:val="1"/>
      <w:numFmt w:val="lowerRoman"/>
      <w:lvlText w:val="%3."/>
      <w:lvlJc w:val="right"/>
      <w:pPr>
        <w:ind w:left="2722" w:hanging="180"/>
      </w:pPr>
    </w:lvl>
    <w:lvl w:ilvl="3" w:tplc="1C09000F">
      <w:start w:val="1"/>
      <w:numFmt w:val="decimal"/>
      <w:lvlText w:val="%4."/>
      <w:lvlJc w:val="left"/>
      <w:pPr>
        <w:ind w:left="3442" w:hanging="360"/>
      </w:pPr>
    </w:lvl>
    <w:lvl w:ilvl="4" w:tplc="1C090019">
      <w:start w:val="1"/>
      <w:numFmt w:val="lowerLetter"/>
      <w:lvlText w:val="%5."/>
      <w:lvlJc w:val="left"/>
      <w:pPr>
        <w:ind w:left="4162" w:hanging="360"/>
      </w:pPr>
    </w:lvl>
    <w:lvl w:ilvl="5" w:tplc="1C09001B">
      <w:start w:val="1"/>
      <w:numFmt w:val="lowerRoman"/>
      <w:lvlText w:val="%6."/>
      <w:lvlJc w:val="right"/>
      <w:pPr>
        <w:ind w:left="4882" w:hanging="180"/>
      </w:pPr>
    </w:lvl>
    <w:lvl w:ilvl="6" w:tplc="1C09000F">
      <w:start w:val="1"/>
      <w:numFmt w:val="decimal"/>
      <w:lvlText w:val="%7."/>
      <w:lvlJc w:val="left"/>
      <w:pPr>
        <w:ind w:left="5602" w:hanging="360"/>
      </w:pPr>
    </w:lvl>
    <w:lvl w:ilvl="7" w:tplc="1C090019">
      <w:start w:val="1"/>
      <w:numFmt w:val="lowerLetter"/>
      <w:lvlText w:val="%8."/>
      <w:lvlJc w:val="left"/>
      <w:pPr>
        <w:ind w:left="6322" w:hanging="360"/>
      </w:pPr>
    </w:lvl>
    <w:lvl w:ilvl="8" w:tplc="1C09001B">
      <w:start w:val="1"/>
      <w:numFmt w:val="lowerRoman"/>
      <w:lvlText w:val="%9."/>
      <w:lvlJc w:val="right"/>
      <w:pPr>
        <w:ind w:left="7042" w:hanging="180"/>
      </w:pPr>
    </w:lvl>
  </w:abstractNum>
  <w:abstractNum w:abstractNumId="1">
    <w:nsid w:val="41481C97"/>
    <w:multiLevelType w:val="hybridMultilevel"/>
    <w:tmpl w:val="A1A4B366"/>
    <w:lvl w:ilvl="0" w:tplc="5E10E17A">
      <w:start w:val="1"/>
      <w:numFmt w:val="decimal"/>
      <w:lvlText w:val="(%1)"/>
      <w:lvlJc w:val="left"/>
      <w:pPr>
        <w:ind w:left="709" w:hanging="720"/>
      </w:pPr>
    </w:lvl>
    <w:lvl w:ilvl="1" w:tplc="1C090019">
      <w:start w:val="1"/>
      <w:numFmt w:val="lowerLetter"/>
      <w:lvlText w:val="%2."/>
      <w:lvlJc w:val="left"/>
      <w:pPr>
        <w:ind w:left="1069" w:hanging="360"/>
      </w:pPr>
    </w:lvl>
    <w:lvl w:ilvl="2" w:tplc="1C09001B">
      <w:start w:val="1"/>
      <w:numFmt w:val="lowerRoman"/>
      <w:lvlText w:val="%3."/>
      <w:lvlJc w:val="right"/>
      <w:pPr>
        <w:ind w:left="1789" w:hanging="180"/>
      </w:pPr>
    </w:lvl>
    <w:lvl w:ilvl="3" w:tplc="1C09000F">
      <w:start w:val="1"/>
      <w:numFmt w:val="decimal"/>
      <w:lvlText w:val="%4."/>
      <w:lvlJc w:val="left"/>
      <w:pPr>
        <w:ind w:left="2509" w:hanging="360"/>
      </w:pPr>
    </w:lvl>
    <w:lvl w:ilvl="4" w:tplc="1C090019">
      <w:start w:val="1"/>
      <w:numFmt w:val="lowerLetter"/>
      <w:lvlText w:val="%5."/>
      <w:lvlJc w:val="left"/>
      <w:pPr>
        <w:ind w:left="3229" w:hanging="360"/>
      </w:pPr>
    </w:lvl>
    <w:lvl w:ilvl="5" w:tplc="1C09001B">
      <w:start w:val="1"/>
      <w:numFmt w:val="lowerRoman"/>
      <w:lvlText w:val="%6."/>
      <w:lvlJc w:val="right"/>
      <w:pPr>
        <w:ind w:left="3949" w:hanging="180"/>
      </w:pPr>
    </w:lvl>
    <w:lvl w:ilvl="6" w:tplc="1C09000F">
      <w:start w:val="1"/>
      <w:numFmt w:val="decimal"/>
      <w:lvlText w:val="%7."/>
      <w:lvlJc w:val="left"/>
      <w:pPr>
        <w:ind w:left="4669" w:hanging="360"/>
      </w:pPr>
    </w:lvl>
    <w:lvl w:ilvl="7" w:tplc="1C090019">
      <w:start w:val="1"/>
      <w:numFmt w:val="lowerLetter"/>
      <w:lvlText w:val="%8."/>
      <w:lvlJc w:val="left"/>
      <w:pPr>
        <w:ind w:left="5389" w:hanging="360"/>
      </w:pPr>
    </w:lvl>
    <w:lvl w:ilvl="8" w:tplc="1C09001B">
      <w:start w:val="1"/>
      <w:numFmt w:val="lowerRoman"/>
      <w:lvlText w:val="%9."/>
      <w:lvlJc w:val="right"/>
      <w:pPr>
        <w:ind w:left="6109" w:hanging="180"/>
      </w:pPr>
    </w:lvl>
  </w:abstractNum>
  <w:abstractNum w:abstractNumId="2">
    <w:nsid w:val="72131AA4"/>
    <w:multiLevelType w:val="hybridMultilevel"/>
    <w:tmpl w:val="E6A49F7A"/>
    <w:lvl w:ilvl="0" w:tplc="7FC2C48C">
      <w:start w:val="1"/>
      <w:numFmt w:val="decimal"/>
      <w:lvlText w:val="(%1)"/>
      <w:lvlJc w:val="left"/>
      <w:pPr>
        <w:ind w:left="502" w:hanging="360"/>
      </w:p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abstractNum w:abstractNumId="3">
    <w:nsid w:val="7E002565"/>
    <w:multiLevelType w:val="hybridMultilevel"/>
    <w:tmpl w:val="EF3C654A"/>
    <w:lvl w:ilvl="0" w:tplc="39D6248A">
      <w:start w:val="1"/>
      <w:numFmt w:val="lowerLetter"/>
      <w:lvlText w:val="(%1)"/>
      <w:lvlJc w:val="left"/>
      <w:pPr>
        <w:ind w:left="862" w:hanging="360"/>
      </w:pPr>
    </w:lvl>
    <w:lvl w:ilvl="1" w:tplc="1C090019">
      <w:start w:val="1"/>
      <w:numFmt w:val="lowerLetter"/>
      <w:lvlText w:val="%2."/>
      <w:lvlJc w:val="left"/>
      <w:pPr>
        <w:ind w:left="1582" w:hanging="360"/>
      </w:pPr>
    </w:lvl>
    <w:lvl w:ilvl="2" w:tplc="1C09001B">
      <w:start w:val="1"/>
      <w:numFmt w:val="lowerRoman"/>
      <w:lvlText w:val="%3."/>
      <w:lvlJc w:val="right"/>
      <w:pPr>
        <w:ind w:left="2302" w:hanging="180"/>
      </w:pPr>
    </w:lvl>
    <w:lvl w:ilvl="3" w:tplc="1C09000F">
      <w:start w:val="1"/>
      <w:numFmt w:val="decimal"/>
      <w:lvlText w:val="%4."/>
      <w:lvlJc w:val="left"/>
      <w:pPr>
        <w:ind w:left="3022" w:hanging="360"/>
      </w:pPr>
    </w:lvl>
    <w:lvl w:ilvl="4" w:tplc="1C090019">
      <w:start w:val="1"/>
      <w:numFmt w:val="lowerLetter"/>
      <w:lvlText w:val="%5."/>
      <w:lvlJc w:val="left"/>
      <w:pPr>
        <w:ind w:left="3742" w:hanging="360"/>
      </w:pPr>
    </w:lvl>
    <w:lvl w:ilvl="5" w:tplc="1C09001B">
      <w:start w:val="1"/>
      <w:numFmt w:val="lowerRoman"/>
      <w:lvlText w:val="%6."/>
      <w:lvlJc w:val="right"/>
      <w:pPr>
        <w:ind w:left="4462" w:hanging="180"/>
      </w:pPr>
    </w:lvl>
    <w:lvl w:ilvl="6" w:tplc="1C09000F">
      <w:start w:val="1"/>
      <w:numFmt w:val="decimal"/>
      <w:lvlText w:val="%7."/>
      <w:lvlJc w:val="left"/>
      <w:pPr>
        <w:ind w:left="5182" w:hanging="360"/>
      </w:pPr>
    </w:lvl>
    <w:lvl w:ilvl="7" w:tplc="1C090019">
      <w:start w:val="1"/>
      <w:numFmt w:val="lowerLetter"/>
      <w:lvlText w:val="%8."/>
      <w:lvlJc w:val="left"/>
      <w:pPr>
        <w:ind w:left="5902" w:hanging="360"/>
      </w:pPr>
    </w:lvl>
    <w:lvl w:ilvl="8" w:tplc="1C09001B">
      <w:start w:val="1"/>
      <w:numFmt w:val="lowerRoman"/>
      <w:lvlText w:val="%9."/>
      <w:lvlJc w:val="right"/>
      <w:pPr>
        <w:ind w:left="662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A6927"/>
    <w:rsid w:val="00062AB0"/>
    <w:rsid w:val="000A1DF0"/>
    <w:rsid w:val="000F1E49"/>
    <w:rsid w:val="001B5D50"/>
    <w:rsid w:val="00222E2B"/>
    <w:rsid w:val="00267EC3"/>
    <w:rsid w:val="003B77A3"/>
    <w:rsid w:val="003F5178"/>
    <w:rsid w:val="005D5EC6"/>
    <w:rsid w:val="00674C81"/>
    <w:rsid w:val="007A6927"/>
    <w:rsid w:val="009D6B8A"/>
    <w:rsid w:val="00B94BD4"/>
    <w:rsid w:val="00DD63CD"/>
    <w:rsid w:val="00F413D9"/>
    <w:rsid w:val="00F632B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6927"/>
    <w:pPr>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14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Davies</dc:creator>
  <cp:lastModifiedBy>USER</cp:lastModifiedBy>
  <cp:revision>2</cp:revision>
  <cp:lastPrinted>2022-09-29T12:28:00Z</cp:lastPrinted>
  <dcterms:created xsi:type="dcterms:W3CDTF">2022-10-12T12:37:00Z</dcterms:created>
  <dcterms:modified xsi:type="dcterms:W3CDTF">2022-10-12T12:37:00Z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17187cd5-7bdf-4889-a84b-0c4ba18707ea</vt:lpwstr>
  </property>
</Properties>
</file>