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0A" w:rsidRPr="00E41A33" w:rsidRDefault="006C090A" w:rsidP="00E41A33">
      <w:pPr>
        <w:jc w:val="center"/>
        <w:rPr>
          <w:rFonts w:ascii="Arial" w:hAnsi="Arial" w:cs="Arial"/>
          <w:b/>
          <w:sz w:val="24"/>
          <w:szCs w:val="24"/>
        </w:rPr>
      </w:pPr>
      <w:r w:rsidRPr="00E41A33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2A5639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5639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2A5639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A5639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184A55">
        <w:rPr>
          <w:rFonts w:ascii="Arial" w:hAnsi="Arial" w:cs="Arial"/>
          <w:b/>
          <w:sz w:val="24"/>
          <w:szCs w:val="24"/>
        </w:rPr>
        <w:t>2</w:t>
      </w:r>
      <w:r w:rsidR="001C722C">
        <w:rPr>
          <w:rFonts w:ascii="Arial" w:hAnsi="Arial" w:cs="Arial"/>
          <w:b/>
          <w:sz w:val="24"/>
          <w:szCs w:val="24"/>
        </w:rPr>
        <w:t>937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2A5639">
        <w:rPr>
          <w:rFonts w:ascii="Arial" w:hAnsi="Arial" w:cs="Arial"/>
          <w:b/>
          <w:sz w:val="24"/>
          <w:szCs w:val="24"/>
        </w:rPr>
        <w:t>6 October 2017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2A5639">
        <w:rPr>
          <w:rFonts w:ascii="Arial" w:hAnsi="Arial" w:cs="Arial"/>
          <w:b/>
          <w:sz w:val="24"/>
          <w:szCs w:val="24"/>
        </w:rPr>
        <w:t xml:space="preserve"> 34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5639" w:rsidRPr="00FF5250" w:rsidRDefault="00184A55" w:rsidP="00FF5250">
      <w:pPr>
        <w:tabs>
          <w:tab w:val="left" w:pos="702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 xml:space="preserve">Mr </w:t>
      </w:r>
      <w:r w:rsidR="001C722C" w:rsidRPr="00FF5250">
        <w:rPr>
          <w:rFonts w:ascii="Arial" w:hAnsi="Arial" w:cs="Arial"/>
          <w:b/>
          <w:sz w:val="28"/>
          <w:szCs w:val="28"/>
        </w:rPr>
        <w:t xml:space="preserve">C </w:t>
      </w:r>
      <w:r w:rsidR="00E41A33" w:rsidRPr="00FF5250">
        <w:rPr>
          <w:rFonts w:ascii="Arial" w:hAnsi="Arial" w:cs="Arial"/>
          <w:b/>
          <w:sz w:val="28"/>
          <w:szCs w:val="28"/>
        </w:rPr>
        <w:t>Mackenzie</w:t>
      </w:r>
      <w:r w:rsidR="001C722C" w:rsidRPr="00FF5250">
        <w:rPr>
          <w:rFonts w:ascii="Arial" w:hAnsi="Arial" w:cs="Arial"/>
          <w:b/>
          <w:sz w:val="28"/>
          <w:szCs w:val="28"/>
        </w:rPr>
        <w:t xml:space="preserve"> (DA)</w:t>
      </w:r>
      <w:r w:rsidR="00DB1861" w:rsidRPr="00FF5250">
        <w:rPr>
          <w:rFonts w:ascii="Arial" w:hAnsi="Arial" w:cs="Arial"/>
          <w:b/>
          <w:sz w:val="28"/>
          <w:szCs w:val="28"/>
        </w:rPr>
        <w:t xml:space="preserve"> to ask the Minister of Telecommunications and Postal Services:</w:t>
      </w:r>
    </w:p>
    <w:p w:rsidR="002A5639" w:rsidRPr="00FF5250" w:rsidRDefault="001C722C" w:rsidP="00FF5250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t>Whether, since 1 January 2016, the Postbank has ever been approached by any (a) member of and/or (b</w:t>
      </w:r>
      <w:proofErr w:type="gramStart"/>
      <w:r w:rsidRPr="00FF5250">
        <w:rPr>
          <w:rFonts w:ascii="Arial" w:hAnsi="Arial" w:cs="Arial"/>
          <w:sz w:val="28"/>
          <w:szCs w:val="28"/>
        </w:rPr>
        <w:t>)(</w:t>
      </w:r>
      <w:proofErr w:type="spellStart"/>
      <w:proofErr w:type="gramEnd"/>
      <w:r w:rsidRPr="00FF5250">
        <w:rPr>
          <w:rFonts w:ascii="Arial" w:hAnsi="Arial" w:cs="Arial"/>
          <w:sz w:val="28"/>
          <w:szCs w:val="28"/>
        </w:rPr>
        <w:t>i</w:t>
      </w:r>
      <w:proofErr w:type="spellEnd"/>
      <w:r w:rsidRPr="00FF5250">
        <w:rPr>
          <w:rFonts w:ascii="Arial" w:hAnsi="Arial" w:cs="Arial"/>
          <w:sz w:val="28"/>
          <w:szCs w:val="28"/>
        </w:rPr>
        <w:t>) person and /or (ii) business associated with any member of a certain family (name furnished) to provide banking facilities either on a personal or commercial level; if so, what are the details of (aa)(</w:t>
      </w:r>
      <w:proofErr w:type="spellStart"/>
      <w:r w:rsidRPr="00FF5250">
        <w:rPr>
          <w:rFonts w:ascii="Arial" w:hAnsi="Arial" w:cs="Arial"/>
          <w:sz w:val="28"/>
          <w:szCs w:val="28"/>
        </w:rPr>
        <w:t>aaa</w:t>
      </w:r>
      <w:proofErr w:type="spellEnd"/>
      <w:r w:rsidRPr="00FF5250">
        <w:rPr>
          <w:rFonts w:ascii="Arial" w:hAnsi="Arial" w:cs="Arial"/>
          <w:sz w:val="28"/>
          <w:szCs w:val="28"/>
        </w:rPr>
        <w:t>) persons and /or (</w:t>
      </w:r>
      <w:proofErr w:type="spellStart"/>
      <w:r w:rsidRPr="00FF5250">
        <w:rPr>
          <w:rFonts w:ascii="Arial" w:hAnsi="Arial" w:cs="Arial"/>
          <w:sz w:val="28"/>
          <w:szCs w:val="28"/>
        </w:rPr>
        <w:t>bbb</w:t>
      </w:r>
      <w:proofErr w:type="spellEnd"/>
      <w:r w:rsidRPr="00FF5250">
        <w:rPr>
          <w:rFonts w:ascii="Arial" w:hAnsi="Arial" w:cs="Arial"/>
          <w:sz w:val="28"/>
          <w:szCs w:val="28"/>
        </w:rPr>
        <w:t xml:space="preserve">) businesses that applied for banking facilities and (bb) banking facilities were applied for each case? </w:t>
      </w:r>
    </w:p>
    <w:p w:rsidR="00C7673A" w:rsidRPr="00FF5250" w:rsidRDefault="001C722C" w:rsidP="00FF5250">
      <w:pPr>
        <w:tabs>
          <w:tab w:val="left" w:pos="180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t>NW3254E</w:t>
      </w:r>
    </w:p>
    <w:p w:rsidR="00C7673A" w:rsidRPr="00FF5250" w:rsidRDefault="00C7673A" w:rsidP="00FF5250">
      <w:pPr>
        <w:tabs>
          <w:tab w:val="left" w:pos="180"/>
        </w:tabs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FF5250" w:rsidRPr="00FF5250" w:rsidRDefault="00FF5250" w:rsidP="00FF5250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>REPLY:</w:t>
      </w:r>
    </w:p>
    <w:p w:rsidR="00FF5250" w:rsidRPr="00FF5250" w:rsidRDefault="00FF5250" w:rsidP="00FF5250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>I have been informed by SAPO as follows:</w:t>
      </w:r>
    </w:p>
    <w:p w:rsidR="00FF5250" w:rsidRPr="00FF5250" w:rsidRDefault="00FF5250" w:rsidP="00FF5250">
      <w:pPr>
        <w:tabs>
          <w:tab w:val="left" w:pos="180"/>
        </w:tabs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F5250" w:rsidRPr="00FF5250" w:rsidRDefault="00FF5250" w:rsidP="00FF5250">
      <w:pPr>
        <w:tabs>
          <w:tab w:val="left" w:pos="2250"/>
        </w:tabs>
        <w:spacing w:line="276" w:lineRule="auto"/>
        <w:ind w:left="2160" w:hanging="2160"/>
        <w:jc w:val="both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t>(a), (b</w:t>
      </w:r>
      <w:proofErr w:type="gramStart"/>
      <w:r w:rsidRPr="00FF5250">
        <w:rPr>
          <w:rFonts w:ascii="Arial" w:hAnsi="Arial" w:cs="Arial"/>
          <w:sz w:val="28"/>
          <w:szCs w:val="28"/>
        </w:rPr>
        <w:t>)(</w:t>
      </w:r>
      <w:proofErr w:type="spellStart"/>
      <w:proofErr w:type="gramEnd"/>
      <w:r w:rsidRPr="00FF5250">
        <w:rPr>
          <w:rFonts w:ascii="Arial" w:hAnsi="Arial" w:cs="Arial"/>
          <w:sz w:val="28"/>
          <w:szCs w:val="28"/>
        </w:rPr>
        <w:t>i</w:t>
      </w:r>
      <w:proofErr w:type="spellEnd"/>
      <w:r w:rsidRPr="00FF5250">
        <w:rPr>
          <w:rFonts w:ascii="Arial" w:hAnsi="Arial" w:cs="Arial"/>
          <w:sz w:val="28"/>
          <w:szCs w:val="28"/>
        </w:rPr>
        <w:t>), &amp; (b)(ii)  Postbank was never approached to open a personal account. A Postbank employee was approached in July 2016, with a request to open a commercial bank account.</w:t>
      </w:r>
    </w:p>
    <w:p w:rsidR="00FF5250" w:rsidRPr="00FF5250" w:rsidRDefault="00FF5250" w:rsidP="00FF5250">
      <w:pPr>
        <w:spacing w:line="276" w:lineRule="auto"/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FF5250" w:rsidRPr="00FF5250" w:rsidRDefault="00FF5250" w:rsidP="00FF5250">
      <w:pPr>
        <w:tabs>
          <w:tab w:val="left" w:pos="1985"/>
        </w:tabs>
        <w:spacing w:line="276" w:lineRule="auto"/>
        <w:ind w:left="1440" w:hanging="1440"/>
        <w:jc w:val="both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t>(</w:t>
      </w:r>
      <w:proofErr w:type="gramStart"/>
      <w:r w:rsidRPr="00FF5250">
        <w:rPr>
          <w:rFonts w:ascii="Arial" w:hAnsi="Arial" w:cs="Arial"/>
          <w:sz w:val="28"/>
          <w:szCs w:val="28"/>
        </w:rPr>
        <w:t>aa</w:t>
      </w:r>
      <w:proofErr w:type="gramEnd"/>
      <w:r w:rsidRPr="00FF5250">
        <w:rPr>
          <w:rFonts w:ascii="Arial" w:hAnsi="Arial" w:cs="Arial"/>
          <w:sz w:val="28"/>
          <w:szCs w:val="28"/>
        </w:rPr>
        <w:t>)(</w:t>
      </w:r>
      <w:proofErr w:type="spellStart"/>
      <w:proofErr w:type="gramStart"/>
      <w:r w:rsidRPr="00FF5250">
        <w:rPr>
          <w:rFonts w:ascii="Arial" w:hAnsi="Arial" w:cs="Arial"/>
          <w:sz w:val="28"/>
          <w:szCs w:val="28"/>
        </w:rPr>
        <w:t>aaa</w:t>
      </w:r>
      <w:proofErr w:type="spellEnd"/>
      <w:proofErr w:type="gramEnd"/>
      <w:r w:rsidRPr="00FF5250">
        <w:rPr>
          <w:rFonts w:ascii="Arial" w:hAnsi="Arial" w:cs="Arial"/>
          <w:sz w:val="28"/>
          <w:szCs w:val="28"/>
        </w:rPr>
        <w:t>)</w:t>
      </w:r>
      <w:r w:rsidRPr="00FF5250">
        <w:rPr>
          <w:rFonts w:ascii="Arial" w:hAnsi="Arial" w:cs="Arial"/>
          <w:sz w:val="28"/>
          <w:szCs w:val="28"/>
        </w:rPr>
        <w:tab/>
      </w:r>
      <w:r w:rsidRPr="00FF5250">
        <w:rPr>
          <w:rFonts w:ascii="Arial" w:hAnsi="Arial" w:cs="Arial"/>
          <w:sz w:val="28"/>
          <w:szCs w:val="28"/>
        </w:rPr>
        <w:tab/>
        <w:t>Not applicable</w:t>
      </w:r>
    </w:p>
    <w:p w:rsidR="00FF5250" w:rsidRPr="00FF5250" w:rsidRDefault="00FF5250" w:rsidP="00FF5250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F5250" w:rsidRPr="00FF5250" w:rsidRDefault="00FF5250" w:rsidP="00FF5250">
      <w:pPr>
        <w:spacing w:line="276" w:lineRule="auto"/>
        <w:ind w:left="1985" w:hanging="1655"/>
        <w:jc w:val="both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FF5250">
        <w:rPr>
          <w:rFonts w:ascii="Arial" w:hAnsi="Arial" w:cs="Arial"/>
          <w:sz w:val="28"/>
          <w:szCs w:val="28"/>
        </w:rPr>
        <w:t>bbb</w:t>
      </w:r>
      <w:proofErr w:type="spellEnd"/>
      <w:proofErr w:type="gramEnd"/>
      <w:r w:rsidRPr="00FF5250">
        <w:rPr>
          <w:rFonts w:ascii="Arial" w:hAnsi="Arial" w:cs="Arial"/>
          <w:sz w:val="28"/>
          <w:szCs w:val="28"/>
        </w:rPr>
        <w:t xml:space="preserve">)  </w:t>
      </w:r>
      <w:r w:rsidRPr="00FF5250">
        <w:rPr>
          <w:rFonts w:ascii="Arial" w:hAnsi="Arial" w:cs="Arial"/>
          <w:sz w:val="28"/>
          <w:szCs w:val="28"/>
        </w:rPr>
        <w:tab/>
        <w:t xml:space="preserve">An employee from a company called </w:t>
      </w:r>
      <w:r w:rsidRPr="00FF5250">
        <w:rPr>
          <w:rFonts w:ascii="Arial" w:hAnsi="Arial" w:cs="Arial"/>
          <w:b/>
          <w:sz w:val="28"/>
          <w:szCs w:val="28"/>
        </w:rPr>
        <w:t>JIC Limited</w:t>
      </w:r>
      <w:r w:rsidRPr="00FF5250">
        <w:rPr>
          <w:rFonts w:ascii="Arial" w:hAnsi="Arial" w:cs="Arial"/>
          <w:sz w:val="28"/>
          <w:szCs w:val="28"/>
        </w:rPr>
        <w:t xml:space="preserve"> approached Postbank with a request to open a bank account for their company. Postbank established based on the JIC Limited’s financial statements that it was part of the </w:t>
      </w:r>
      <w:proofErr w:type="spellStart"/>
      <w:r w:rsidRPr="00FF5250">
        <w:rPr>
          <w:rFonts w:ascii="Arial" w:hAnsi="Arial" w:cs="Arial"/>
          <w:sz w:val="28"/>
          <w:szCs w:val="28"/>
        </w:rPr>
        <w:t>Oakbay</w:t>
      </w:r>
      <w:proofErr w:type="spellEnd"/>
      <w:r w:rsidRPr="00FF5250">
        <w:rPr>
          <w:rFonts w:ascii="Arial" w:hAnsi="Arial" w:cs="Arial"/>
          <w:sz w:val="28"/>
          <w:szCs w:val="28"/>
        </w:rPr>
        <w:t xml:space="preserve"> Group. Postbank responded in August 2016 that it does not service corporate accounts because it is purely a retail bank that only serves individuals. </w:t>
      </w:r>
    </w:p>
    <w:p w:rsidR="00FF5250" w:rsidRPr="00FF5250" w:rsidRDefault="00FF5250" w:rsidP="00FF5250">
      <w:pPr>
        <w:spacing w:line="276" w:lineRule="auto"/>
        <w:ind w:left="1985" w:hanging="1655"/>
        <w:jc w:val="both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lastRenderedPageBreak/>
        <w:tab/>
      </w:r>
    </w:p>
    <w:p w:rsidR="00FF5250" w:rsidRPr="00FF5250" w:rsidRDefault="00FF5250" w:rsidP="00FF5250">
      <w:pPr>
        <w:spacing w:line="276" w:lineRule="auto"/>
        <w:ind w:left="1985" w:hanging="1655"/>
        <w:jc w:val="both"/>
        <w:rPr>
          <w:rFonts w:ascii="Arial" w:hAnsi="Arial" w:cs="Arial"/>
          <w:sz w:val="28"/>
          <w:szCs w:val="28"/>
        </w:rPr>
      </w:pPr>
      <w:r w:rsidRPr="00FF5250">
        <w:rPr>
          <w:rFonts w:ascii="Arial" w:hAnsi="Arial" w:cs="Arial"/>
          <w:sz w:val="28"/>
          <w:szCs w:val="28"/>
        </w:rPr>
        <w:tab/>
        <w:t xml:space="preserve">Further, an employee of </w:t>
      </w:r>
      <w:r w:rsidRPr="00FF5250">
        <w:rPr>
          <w:rFonts w:ascii="Arial" w:hAnsi="Arial" w:cs="Arial"/>
          <w:b/>
          <w:sz w:val="28"/>
          <w:szCs w:val="28"/>
        </w:rPr>
        <w:t>ANN7</w:t>
      </w:r>
      <w:r w:rsidRPr="00FF5250">
        <w:rPr>
          <w:rFonts w:ascii="Arial" w:hAnsi="Arial" w:cs="Arial"/>
          <w:sz w:val="28"/>
          <w:szCs w:val="28"/>
        </w:rPr>
        <w:t xml:space="preserve"> in August 2017, approached SAPO requesting a meeting with the SAPO Group Chief Executive Officer to discuss the opening of a bank account for the company. SAPO indicated that Postbank was unable to open or service corporate accounts because it is purely a retail bank that only serves individuals. </w:t>
      </w:r>
    </w:p>
    <w:p w:rsidR="002A5639" w:rsidRPr="002A5639" w:rsidRDefault="002A5639" w:rsidP="002A5639">
      <w:pPr>
        <w:spacing w:line="360" w:lineRule="auto"/>
        <w:rPr>
          <w:rFonts w:ascii="Arial" w:hAnsi="Arial" w:cs="Arial"/>
          <w:sz w:val="24"/>
          <w:szCs w:val="24"/>
        </w:rPr>
      </w:pPr>
    </w:p>
    <w:p w:rsidR="00C748DF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>Approved/Not Approved</w:t>
      </w:r>
    </w:p>
    <w:p w:rsidR="00C748DF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C748DF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FF5250" w:rsidRPr="00FF5250" w:rsidRDefault="00FF5250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748DF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>---------------------------------</w:t>
      </w:r>
    </w:p>
    <w:p w:rsidR="00C748DF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FF5250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FF52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F5250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FF5250">
        <w:rPr>
          <w:rFonts w:ascii="Arial" w:hAnsi="Arial" w:cs="Arial"/>
          <w:b/>
          <w:sz w:val="28"/>
          <w:szCs w:val="28"/>
        </w:rPr>
        <w:t>, MP</w:t>
      </w:r>
    </w:p>
    <w:p w:rsidR="00C748DF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B20279" w:rsidRPr="00FF5250" w:rsidRDefault="00C748DF" w:rsidP="00C748DF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  <w:r w:rsidRPr="00FF5250">
        <w:rPr>
          <w:rFonts w:ascii="Arial" w:hAnsi="Arial" w:cs="Arial"/>
          <w:b/>
          <w:sz w:val="28"/>
          <w:szCs w:val="28"/>
        </w:rPr>
        <w:t xml:space="preserve">Date:    </w:t>
      </w:r>
    </w:p>
    <w:p w:rsidR="00B20279" w:rsidRPr="00FF5250" w:rsidRDefault="00B20279" w:rsidP="008E5265">
      <w:pPr>
        <w:tabs>
          <w:tab w:val="left" w:pos="180"/>
        </w:tabs>
        <w:rPr>
          <w:rFonts w:ascii="Arial" w:hAnsi="Arial" w:cs="Arial"/>
          <w:b/>
          <w:sz w:val="28"/>
          <w:szCs w:val="28"/>
        </w:rPr>
      </w:pP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0A0DB6">
      <w:headerReference w:type="even" r:id="rId7"/>
      <w:headerReference w:type="default" r:id="rId8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1A" w:rsidRDefault="006A011A">
      <w:r>
        <w:separator/>
      </w:r>
    </w:p>
  </w:endnote>
  <w:endnote w:type="continuationSeparator" w:id="0">
    <w:p w:rsidR="006A011A" w:rsidRDefault="006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1A" w:rsidRDefault="006A011A">
      <w:r>
        <w:separator/>
      </w:r>
    </w:p>
  </w:footnote>
  <w:footnote w:type="continuationSeparator" w:id="0">
    <w:p w:rsidR="006A011A" w:rsidRDefault="006A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7"/>
  </w:num>
  <w:num w:numId="4">
    <w:abstractNumId w:val="5"/>
  </w:num>
  <w:num w:numId="5">
    <w:abstractNumId w:val="24"/>
  </w:num>
  <w:num w:numId="6">
    <w:abstractNumId w:val="1"/>
  </w:num>
  <w:num w:numId="7">
    <w:abstractNumId w:val="35"/>
  </w:num>
  <w:num w:numId="8">
    <w:abstractNumId w:val="15"/>
  </w:num>
  <w:num w:numId="9">
    <w:abstractNumId w:val="20"/>
  </w:num>
  <w:num w:numId="10">
    <w:abstractNumId w:val="10"/>
  </w:num>
  <w:num w:numId="11">
    <w:abstractNumId w:val="16"/>
  </w:num>
  <w:num w:numId="12">
    <w:abstractNumId w:val="3"/>
  </w:num>
  <w:num w:numId="13">
    <w:abstractNumId w:val="12"/>
  </w:num>
  <w:num w:numId="14">
    <w:abstractNumId w:val="33"/>
  </w:num>
  <w:num w:numId="15">
    <w:abstractNumId w:val="7"/>
  </w:num>
  <w:num w:numId="16">
    <w:abstractNumId w:val="31"/>
  </w:num>
  <w:num w:numId="17">
    <w:abstractNumId w:val="32"/>
  </w:num>
  <w:num w:numId="18">
    <w:abstractNumId w:val="22"/>
  </w:num>
  <w:num w:numId="19">
    <w:abstractNumId w:val="19"/>
  </w:num>
  <w:num w:numId="20">
    <w:abstractNumId w:val="21"/>
  </w:num>
  <w:num w:numId="21">
    <w:abstractNumId w:val="23"/>
  </w:num>
  <w:num w:numId="22">
    <w:abstractNumId w:val="26"/>
  </w:num>
  <w:num w:numId="23">
    <w:abstractNumId w:val="4"/>
  </w:num>
  <w:num w:numId="24">
    <w:abstractNumId w:val="11"/>
  </w:num>
  <w:num w:numId="25">
    <w:abstractNumId w:val="34"/>
  </w:num>
  <w:num w:numId="26">
    <w:abstractNumId w:val="18"/>
  </w:num>
  <w:num w:numId="27">
    <w:abstractNumId w:val="2"/>
  </w:num>
  <w:num w:numId="28">
    <w:abstractNumId w:val="25"/>
  </w:num>
  <w:num w:numId="29">
    <w:abstractNumId w:val="0"/>
  </w:num>
  <w:num w:numId="30">
    <w:abstractNumId w:val="14"/>
  </w:num>
  <w:num w:numId="31">
    <w:abstractNumId w:val="8"/>
  </w:num>
  <w:num w:numId="32">
    <w:abstractNumId w:val="28"/>
  </w:num>
  <w:num w:numId="33">
    <w:abstractNumId w:val="13"/>
  </w:num>
  <w:num w:numId="34">
    <w:abstractNumId w:val="6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4A55"/>
    <w:rsid w:val="00187E97"/>
    <w:rsid w:val="00196B51"/>
    <w:rsid w:val="001A65F7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639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150DF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5B32"/>
    <w:rsid w:val="005B5E37"/>
    <w:rsid w:val="005C1C5C"/>
    <w:rsid w:val="005E12FD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40AE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11A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F65F8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7E6636"/>
    <w:rsid w:val="00801B08"/>
    <w:rsid w:val="008130F3"/>
    <w:rsid w:val="00822FA5"/>
    <w:rsid w:val="0083450B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6051"/>
    <w:rsid w:val="00905A55"/>
    <w:rsid w:val="00905B36"/>
    <w:rsid w:val="00906D03"/>
    <w:rsid w:val="00907F64"/>
    <w:rsid w:val="00910F1E"/>
    <w:rsid w:val="00915D11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5935"/>
    <w:rsid w:val="00A46BE9"/>
    <w:rsid w:val="00A47652"/>
    <w:rsid w:val="00A57135"/>
    <w:rsid w:val="00A6067D"/>
    <w:rsid w:val="00A61316"/>
    <w:rsid w:val="00A64C33"/>
    <w:rsid w:val="00A7000A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48DF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22C5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47CD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1A33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0316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7248C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250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877D6F-39CC-48B0-942B-3AE099CF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Musa Maceke</cp:lastModifiedBy>
  <cp:revision>3</cp:revision>
  <cp:lastPrinted>2017-10-10T12:25:00Z</cp:lastPrinted>
  <dcterms:created xsi:type="dcterms:W3CDTF">2017-10-28T11:19:00Z</dcterms:created>
  <dcterms:modified xsi:type="dcterms:W3CDTF">2017-10-28T11:21:00Z</dcterms:modified>
</cp:coreProperties>
</file>