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47" w:rsidRDefault="00210A29" w:rsidP="00B70947">
      <w:pPr>
        <w:jc w:val="center"/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BA5568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D7132" w:rsidRDefault="00933E1F" w:rsidP="00BA7577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D55831">
        <w:rPr>
          <w:rFonts w:cs="Arial"/>
          <w:b/>
          <w:szCs w:val="24"/>
          <w:lang w:val="en-US"/>
        </w:rPr>
        <w:t>2936</w:t>
      </w:r>
      <w:r w:rsidR="002A5795">
        <w:rPr>
          <w:rFonts w:cs="Arial"/>
          <w:b/>
          <w:szCs w:val="24"/>
          <w:lang w:val="en-US"/>
        </w:rPr>
        <w:t xml:space="preserve"> </w:t>
      </w:r>
      <w:r w:rsidR="00D55831">
        <w:rPr>
          <w:rFonts w:cs="Arial"/>
          <w:b/>
          <w:szCs w:val="24"/>
          <w:lang w:val="en-US"/>
        </w:rPr>
        <w:t>[NW3761</w:t>
      </w:r>
      <w:r w:rsidR="00324765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BA7577" w:rsidRDefault="00BA7577" w:rsidP="00BA7577">
      <w:pPr>
        <w:ind w:left="2160" w:firstLine="720"/>
        <w:outlineLvl w:val="0"/>
        <w:rPr>
          <w:rFonts w:cs="Arial"/>
          <w:b/>
          <w:szCs w:val="24"/>
          <w:lang w:val="en-US"/>
        </w:rPr>
      </w:pPr>
    </w:p>
    <w:p w:rsidR="00BA7577" w:rsidRPr="00BA7577" w:rsidRDefault="00BA7577" w:rsidP="00BA7577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123129" w:rsidRPr="00B33C35" w:rsidRDefault="00123129" w:rsidP="00123129">
      <w:pPr>
        <w:spacing w:before="100" w:beforeAutospacing="1" w:after="100" w:afterAutospacing="1"/>
        <w:ind w:left="720" w:hanging="720"/>
        <w:jc w:val="both"/>
        <w:outlineLvl w:val="0"/>
        <w:rPr>
          <w:rFonts w:eastAsia="Calibri" w:cs="Arial"/>
          <w:b/>
          <w:bCs/>
          <w:szCs w:val="24"/>
        </w:rPr>
      </w:pPr>
      <w:r w:rsidRPr="00B33C35">
        <w:rPr>
          <w:rFonts w:eastAsia="Calibri" w:cs="Arial"/>
          <w:b/>
          <w:bCs/>
          <w:szCs w:val="24"/>
        </w:rPr>
        <w:t>2936.</w:t>
      </w:r>
      <w:r w:rsidRPr="00B33C35">
        <w:rPr>
          <w:rFonts w:eastAsia="Calibri" w:cs="Arial"/>
          <w:b/>
          <w:bCs/>
          <w:szCs w:val="24"/>
        </w:rPr>
        <w:tab/>
        <w:t xml:space="preserve">Ms C N </w:t>
      </w:r>
      <w:proofErr w:type="spellStart"/>
      <w:r w:rsidRPr="00B33C35">
        <w:rPr>
          <w:rFonts w:eastAsia="Calibri" w:cs="Arial"/>
          <w:b/>
          <w:bCs/>
          <w:szCs w:val="24"/>
        </w:rPr>
        <w:t>Mkhonto</w:t>
      </w:r>
      <w:proofErr w:type="spellEnd"/>
      <w:r w:rsidRPr="00B33C35">
        <w:rPr>
          <w:rFonts w:eastAsia="Calibri" w:cs="Arial"/>
          <w:b/>
          <w:bCs/>
          <w:szCs w:val="24"/>
        </w:rPr>
        <w:t xml:space="preserve"> (</w:t>
      </w:r>
      <w:r w:rsidRPr="00B33C35">
        <w:rPr>
          <w:rFonts w:eastAsia="Calibri" w:cs="Arial"/>
          <w:b/>
          <w:noProof/>
          <w:szCs w:val="24"/>
          <w:lang w:val="af-ZA"/>
        </w:rPr>
        <w:t>EFF</w:t>
      </w:r>
      <w:r w:rsidRPr="00B33C35">
        <w:rPr>
          <w:rFonts w:eastAsia="Calibri" w:cs="Arial"/>
          <w:b/>
          <w:bCs/>
          <w:szCs w:val="24"/>
        </w:rPr>
        <w:t>) to ask the Minister of Employment and Labour</w:t>
      </w:r>
      <w:r w:rsidR="00BA5568" w:rsidRPr="00B33C35">
        <w:rPr>
          <w:rFonts w:eastAsia="Calibri" w:cs="Arial"/>
          <w:b/>
          <w:bCs/>
          <w:szCs w:val="24"/>
        </w:rPr>
        <w:fldChar w:fldCharType="begin"/>
      </w:r>
      <w:r w:rsidRPr="00B33C35">
        <w:rPr>
          <w:rFonts w:eastAsia="Calibri" w:cs="Arial"/>
          <w:sz w:val="22"/>
          <w:szCs w:val="22"/>
          <w:lang w:val="en-ZA"/>
        </w:rPr>
        <w:instrText xml:space="preserve"> XE "</w:instrText>
      </w:r>
      <w:r w:rsidRPr="00B33C35">
        <w:rPr>
          <w:rFonts w:eastAsia="Calibri" w:cs="Arial"/>
          <w:b/>
          <w:bCs/>
          <w:szCs w:val="24"/>
          <w:lang w:val="en-ZA"/>
        </w:rPr>
        <w:instrText>Employment and Labour</w:instrText>
      </w:r>
      <w:r w:rsidRPr="00B33C35">
        <w:rPr>
          <w:rFonts w:eastAsia="Calibri" w:cs="Arial"/>
          <w:sz w:val="22"/>
          <w:szCs w:val="22"/>
          <w:lang w:val="en-ZA"/>
        </w:rPr>
        <w:instrText xml:space="preserve">" </w:instrText>
      </w:r>
      <w:r w:rsidR="00BA5568" w:rsidRPr="00B33C35">
        <w:rPr>
          <w:rFonts w:eastAsia="Calibri" w:cs="Arial"/>
          <w:b/>
          <w:bCs/>
          <w:szCs w:val="24"/>
        </w:rPr>
        <w:fldChar w:fldCharType="end"/>
      </w:r>
      <w:r w:rsidRPr="00B33C35">
        <w:rPr>
          <w:rFonts w:eastAsia="Calibri" w:cs="Arial"/>
          <w:b/>
          <w:bCs/>
          <w:szCs w:val="24"/>
        </w:rPr>
        <w:t>:</w:t>
      </w:r>
    </w:p>
    <w:p w:rsidR="00123129" w:rsidRDefault="00123129" w:rsidP="00123129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rPr>
          <w:rFonts w:eastAsia="Calibri" w:cs="Arial"/>
          <w:szCs w:val="24"/>
        </w:rPr>
      </w:pPr>
      <w:r w:rsidRPr="00123129">
        <w:rPr>
          <w:rFonts w:eastAsia="Calibri" w:cs="Arial"/>
          <w:szCs w:val="24"/>
        </w:rPr>
        <w:t>What total (a) amount has (</w:t>
      </w:r>
      <w:proofErr w:type="spellStart"/>
      <w:r w:rsidRPr="00123129">
        <w:rPr>
          <w:rFonts w:eastAsia="Calibri" w:cs="Arial"/>
          <w:szCs w:val="24"/>
        </w:rPr>
        <w:t>i</w:t>
      </w:r>
      <w:proofErr w:type="spellEnd"/>
      <w:r w:rsidRPr="00123129">
        <w:rPr>
          <w:rFonts w:eastAsia="Calibri" w:cs="Arial"/>
          <w:szCs w:val="24"/>
        </w:rPr>
        <w:t>) his department and (ii) all entities reporting to him spent on consultants between 1 March and 31 October 2020 and (b) number of consultants were appointed by the Commissioner to work directly in his office?</w:t>
      </w:r>
      <w:r w:rsidR="00C26860">
        <w:rPr>
          <w:rFonts w:eastAsia="Calibri" w:cs="Arial"/>
          <w:szCs w:val="24"/>
        </w:rPr>
        <w:t xml:space="preserve"> NW376</w:t>
      </w:r>
      <w:r w:rsidR="00B33C35">
        <w:rPr>
          <w:rFonts w:eastAsia="Calibri" w:cs="Arial"/>
          <w:szCs w:val="24"/>
        </w:rPr>
        <w:t>1</w:t>
      </w:r>
      <w:r w:rsidR="00C26860">
        <w:rPr>
          <w:rFonts w:eastAsia="Calibri" w:cs="Arial"/>
          <w:szCs w:val="24"/>
        </w:rPr>
        <w:t>E</w:t>
      </w:r>
    </w:p>
    <w:p w:rsidR="00C26860" w:rsidRDefault="00C26860" w:rsidP="00BA757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 w:cs="Arial"/>
          <w:szCs w:val="24"/>
        </w:rPr>
      </w:pPr>
      <w:r>
        <w:rPr>
          <w:rFonts w:ascii="Arial Black" w:eastAsiaTheme="minorHAnsi" w:hAnsi="Arial Black" w:cs="Arial"/>
          <w:szCs w:val="24"/>
        </w:rPr>
        <w:t>REPLY:</w:t>
      </w:r>
    </w:p>
    <w:p w:rsidR="001E0E0C" w:rsidRPr="00455178" w:rsidRDefault="001E0E0C" w:rsidP="0045517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99" w:hanging="357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455178">
        <w:rPr>
          <w:rFonts w:ascii="Arial" w:eastAsiaTheme="minorHAnsi" w:hAnsi="Arial" w:cs="Arial"/>
          <w:sz w:val="24"/>
          <w:szCs w:val="24"/>
        </w:rPr>
        <w:t>During the specified period there is no expenditure amount in the Office of the Director General paid to consultants. (</w:t>
      </w:r>
      <w:proofErr w:type="spellStart"/>
      <w:r w:rsidRPr="0045517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455178">
        <w:rPr>
          <w:rFonts w:ascii="Arial" w:eastAsiaTheme="minorHAnsi" w:hAnsi="Arial" w:cs="Arial"/>
          <w:sz w:val="24"/>
          <w:szCs w:val="24"/>
        </w:rPr>
        <w:t xml:space="preserve">) The Office of the Director General appointed no consultants in the specified period. Therefore, there are no amounts of funds that were spent. </w:t>
      </w:r>
    </w:p>
    <w:p w:rsidR="00455178" w:rsidRPr="00455178" w:rsidRDefault="001E0E0C" w:rsidP="00455178">
      <w:pPr>
        <w:spacing w:before="100" w:beforeAutospacing="1" w:after="100" w:afterAutospacing="1" w:line="360" w:lineRule="auto"/>
        <w:jc w:val="both"/>
        <w:rPr>
          <w:rFonts w:eastAsia="Calibri" w:cs="Arial"/>
          <w:szCs w:val="24"/>
        </w:rPr>
      </w:pPr>
      <w:r w:rsidRPr="00455178">
        <w:rPr>
          <w:rFonts w:eastAsiaTheme="minorHAnsi" w:cs="Arial"/>
          <w:szCs w:val="24"/>
        </w:rPr>
        <w:t xml:space="preserve">(ii)  Amount accounting for </w:t>
      </w:r>
      <w:proofErr w:type="spellStart"/>
      <w:r w:rsidRPr="00455178">
        <w:rPr>
          <w:rFonts w:eastAsiaTheme="minorHAnsi" w:cs="Arial"/>
          <w:szCs w:val="24"/>
        </w:rPr>
        <w:t>Nedlac</w:t>
      </w:r>
      <w:proofErr w:type="spellEnd"/>
      <w:r w:rsidRPr="00455178">
        <w:rPr>
          <w:rFonts w:eastAsiaTheme="minorHAnsi" w:cs="Arial"/>
          <w:szCs w:val="24"/>
        </w:rPr>
        <w:t xml:space="preserve"> is </w:t>
      </w:r>
      <w:r w:rsidR="00455178">
        <w:rPr>
          <w:rFonts w:eastAsia="Calibri" w:cs="Arial"/>
          <w:szCs w:val="24"/>
        </w:rPr>
        <w:t xml:space="preserve">R2 </w:t>
      </w:r>
      <w:r w:rsidRPr="00455178">
        <w:rPr>
          <w:rFonts w:eastAsia="Calibri" w:cs="Arial"/>
          <w:szCs w:val="24"/>
        </w:rPr>
        <w:t>295 578.18</w:t>
      </w:r>
      <w:r w:rsidR="00455178" w:rsidRPr="00455178">
        <w:rPr>
          <w:rFonts w:eastAsia="Calibri" w:cs="Arial"/>
          <w:szCs w:val="24"/>
        </w:rPr>
        <w:t xml:space="preserve"> </w:t>
      </w:r>
    </w:p>
    <w:p w:rsidR="001E0E0C" w:rsidRPr="00455178" w:rsidRDefault="001E0E0C" w:rsidP="0045517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5178">
        <w:rPr>
          <w:rFonts w:ascii="Arial" w:hAnsi="Arial" w:cs="Arial"/>
          <w:sz w:val="24"/>
          <w:szCs w:val="24"/>
        </w:rPr>
        <w:t>Two consultants were appointed to work in the Office of the E</w:t>
      </w:r>
      <w:r w:rsidR="00455178" w:rsidRPr="00455178">
        <w:rPr>
          <w:rFonts w:ascii="Arial" w:hAnsi="Arial" w:cs="Arial"/>
          <w:sz w:val="24"/>
          <w:szCs w:val="24"/>
        </w:rPr>
        <w:t xml:space="preserve">xecutive </w:t>
      </w:r>
      <w:r w:rsidRPr="00455178">
        <w:rPr>
          <w:rFonts w:ascii="Arial" w:hAnsi="Arial" w:cs="Arial"/>
          <w:sz w:val="24"/>
          <w:szCs w:val="24"/>
        </w:rPr>
        <w:t>D</w:t>
      </w:r>
      <w:r w:rsidR="00455178" w:rsidRPr="00455178">
        <w:rPr>
          <w:rFonts w:ascii="Arial" w:hAnsi="Arial" w:cs="Arial"/>
          <w:sz w:val="24"/>
          <w:szCs w:val="24"/>
        </w:rPr>
        <w:t>irector</w:t>
      </w:r>
      <w:r w:rsidRPr="00455178">
        <w:rPr>
          <w:rFonts w:ascii="Arial" w:hAnsi="Arial" w:cs="Arial"/>
          <w:sz w:val="24"/>
          <w:szCs w:val="24"/>
        </w:rPr>
        <w:t xml:space="preserve">.  One was appointed to prepare the Annual Report and the second was appointed to upgrade the website and develop a template for a </w:t>
      </w:r>
      <w:proofErr w:type="spellStart"/>
      <w:r w:rsidRPr="00455178">
        <w:rPr>
          <w:rFonts w:ascii="Arial" w:hAnsi="Arial" w:cs="Arial"/>
          <w:sz w:val="24"/>
          <w:szCs w:val="24"/>
        </w:rPr>
        <w:t>Nedlac</w:t>
      </w:r>
      <w:proofErr w:type="spellEnd"/>
      <w:r w:rsidRPr="00455178">
        <w:rPr>
          <w:rFonts w:ascii="Arial" w:hAnsi="Arial" w:cs="Arial"/>
          <w:sz w:val="24"/>
          <w:szCs w:val="24"/>
        </w:rPr>
        <w:t xml:space="preserve"> newsletter to stakeholders. </w:t>
      </w:r>
    </w:p>
    <w:p w:rsidR="001E0E0C" w:rsidRPr="00BC6286" w:rsidRDefault="001E0E0C" w:rsidP="001E0E0C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Cs w:val="24"/>
        </w:rPr>
      </w:pPr>
    </w:p>
    <w:p w:rsidR="00455178" w:rsidRPr="00BC6286" w:rsidRDefault="00455178" w:rsidP="00455178">
      <w:pPr>
        <w:jc w:val="both"/>
        <w:rPr>
          <w:rFonts w:cs="Arial"/>
          <w:b/>
          <w:bCs/>
          <w:color w:val="000000"/>
          <w:sz w:val="22"/>
          <w:szCs w:val="22"/>
          <w:lang w:val="en-ZA" w:eastAsia="en-ZA"/>
        </w:rPr>
      </w:pPr>
      <w:r>
        <w:rPr>
          <w:rFonts w:eastAsiaTheme="minorHAnsi" w:cs="Arial"/>
          <w:b/>
          <w:szCs w:val="24"/>
        </w:rPr>
        <w:t xml:space="preserve">(ii) In relation to UIF, the amount is </w:t>
      </w:r>
      <w:r>
        <w:rPr>
          <w:rFonts w:cs="Arial"/>
          <w:b/>
          <w:bCs/>
          <w:color w:val="000000"/>
          <w:sz w:val="22"/>
          <w:szCs w:val="22"/>
          <w:lang w:val="en-ZA" w:eastAsia="en-ZA"/>
        </w:rPr>
        <w:t>R</w:t>
      </w:r>
      <w:r w:rsidRPr="00BC6286">
        <w:rPr>
          <w:rFonts w:cs="Arial"/>
          <w:b/>
          <w:bCs/>
          <w:color w:val="000000"/>
          <w:sz w:val="22"/>
          <w:szCs w:val="22"/>
          <w:lang w:val="en-ZA" w:eastAsia="en-ZA"/>
        </w:rPr>
        <w:t>36</w:t>
      </w:r>
      <w:proofErr w:type="gramStart"/>
      <w:r w:rsidRPr="00BC6286">
        <w:rPr>
          <w:rFonts w:cs="Arial"/>
          <w:b/>
          <w:bCs/>
          <w:color w:val="000000"/>
          <w:sz w:val="22"/>
          <w:szCs w:val="22"/>
          <w:lang w:val="en-ZA" w:eastAsia="en-ZA"/>
        </w:rPr>
        <w:t>,179,557.35</w:t>
      </w:r>
      <w:proofErr w:type="gramEnd"/>
      <w:r w:rsidRPr="00BC6286">
        <w:rPr>
          <w:rFonts w:cs="Arial"/>
          <w:b/>
          <w:bCs/>
          <w:color w:val="000000"/>
          <w:sz w:val="22"/>
          <w:szCs w:val="22"/>
          <w:lang w:val="en-ZA" w:eastAsia="en-ZA"/>
        </w:rPr>
        <w:t xml:space="preserve"> </w:t>
      </w:r>
    </w:p>
    <w:p w:rsidR="00455178" w:rsidRDefault="00455178" w:rsidP="005D3B4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lastRenderedPageBreak/>
        <w:t>See the breakdown below:</w:t>
      </w:r>
    </w:p>
    <w:p w:rsidR="00455178" w:rsidRPr="005D3B40" w:rsidRDefault="00455178" w:rsidP="00455178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Cs w:val="24"/>
        </w:rPr>
      </w:pPr>
      <w:r w:rsidRPr="005D3B40">
        <w:rPr>
          <w:rFonts w:eastAsiaTheme="minorHAnsi" w:cs="Arial"/>
          <w:b/>
          <w:szCs w:val="24"/>
        </w:rPr>
        <w:t>Unemployment Ins</w:t>
      </w:r>
      <w:r>
        <w:rPr>
          <w:rFonts w:eastAsiaTheme="minorHAnsi" w:cs="Arial"/>
          <w:b/>
          <w:szCs w:val="24"/>
        </w:rPr>
        <w:t xml:space="preserve">urance Fund </w:t>
      </w:r>
    </w:p>
    <w:tbl>
      <w:tblPr>
        <w:tblW w:w="9703" w:type="dxa"/>
        <w:tblLook w:val="04A0"/>
      </w:tblPr>
      <w:tblGrid>
        <w:gridCol w:w="2552"/>
        <w:gridCol w:w="3708"/>
        <w:gridCol w:w="1623"/>
        <w:gridCol w:w="197"/>
        <w:gridCol w:w="1623"/>
      </w:tblGrid>
      <w:tr w:rsidR="00455178" w:rsidRPr="00DB7AD5" w:rsidTr="006863D3">
        <w:trPr>
          <w:gridAfter w:val="2"/>
          <w:wAfter w:w="1820" w:type="dxa"/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DB7AD5" w:rsidRDefault="00455178" w:rsidP="006863D3">
            <w:pPr>
              <w:rPr>
                <w:rFonts w:ascii="Times New Roman" w:hAnsi="Times New Roman"/>
                <w:sz w:val="20"/>
                <w:szCs w:val="24"/>
                <w:lang w:val="en-ZA" w:eastAsia="en-ZA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DB7AD5" w:rsidRDefault="00455178" w:rsidP="006863D3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DB7AD5" w:rsidRDefault="00455178" w:rsidP="006863D3">
            <w:pPr>
              <w:rPr>
                <w:rFonts w:ascii="Times New Roman" w:hAnsi="Times New Roman"/>
                <w:sz w:val="20"/>
                <w:lang w:val="en-ZA" w:eastAsia="en-ZA"/>
              </w:rPr>
            </w:pP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  <w:t>Company Name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  <w:t>Services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Expenditure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VS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Operational System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right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  18,142,479.45 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Gen2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Financial System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center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  5,788,146.41 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Altimax</w:t>
            </w:r>
            <w:proofErr w:type="spellEnd"/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Technical financial advisory services on the Fund’s annual financial statements and audit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right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    1,510,698.00 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True South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Actuarial Services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right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    6,068,203.52 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Nexia</w:t>
            </w:r>
            <w:proofErr w:type="spellEnd"/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SAB&amp;T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Probity Review Services</w:t>
            </w:r>
            <w:r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on procurement processes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right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    1,854,095.52 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IAC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Actuarial Services Contract (contract came to an end during the period)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right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        619,181.01 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SNG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2"/>
                <w:lang w:val="en-ZA" w:eastAsia="en-ZA"/>
              </w:rPr>
              <w:t>Internal Audit Consultants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right"/>
              <w:rPr>
                <w:rFonts w:cs="Arial"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color w:val="000000"/>
                <w:sz w:val="22"/>
                <w:szCs w:val="22"/>
                <w:lang w:val="en-ZA" w:eastAsia="en-ZA"/>
              </w:rPr>
              <w:t xml:space="preserve">     2,196,753.44 </w:t>
            </w:r>
          </w:p>
        </w:tc>
      </w:tr>
      <w:tr w:rsidR="00455178" w:rsidRPr="00BC6286" w:rsidTr="006863D3">
        <w:trPr>
          <w:cantSplit/>
        </w:trPr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  <w:t>Total: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55178" w:rsidRPr="00BC6286" w:rsidRDefault="00455178" w:rsidP="006863D3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178" w:rsidRPr="00BC6286" w:rsidRDefault="00455178" w:rsidP="006863D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BC6286">
              <w:rPr>
                <w:rFonts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36,179,557.35 </w:t>
            </w:r>
          </w:p>
        </w:tc>
      </w:tr>
    </w:tbl>
    <w:p w:rsidR="001E0E0C" w:rsidRPr="00455178" w:rsidRDefault="00455178" w:rsidP="005D3B4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</w:rPr>
      </w:pPr>
      <w:r w:rsidRPr="00455178">
        <w:rPr>
          <w:rFonts w:ascii="Arial Black" w:eastAsiaTheme="minorHAnsi" w:hAnsi="Arial Black" w:cs="Arial"/>
          <w:szCs w:val="24"/>
        </w:rPr>
        <w:t>(b)</w:t>
      </w:r>
      <w:r w:rsidRPr="00455178">
        <w:rPr>
          <w:rFonts w:eastAsiaTheme="minorHAnsi" w:cs="Arial"/>
          <w:szCs w:val="24"/>
        </w:rPr>
        <w:t xml:space="preserve"> </w:t>
      </w:r>
      <w:proofErr w:type="gramStart"/>
      <w:r w:rsidRPr="00455178">
        <w:rPr>
          <w:rFonts w:eastAsiaTheme="minorHAnsi" w:cs="Arial"/>
          <w:szCs w:val="24"/>
        </w:rPr>
        <w:t>no</w:t>
      </w:r>
      <w:proofErr w:type="gramEnd"/>
      <w:r w:rsidRPr="00455178">
        <w:rPr>
          <w:rFonts w:eastAsiaTheme="minorHAnsi" w:cs="Arial"/>
          <w:szCs w:val="24"/>
        </w:rPr>
        <w:t xml:space="preserve"> consultants were appointed by Commissioner to work directly in his office during the specified period. </w:t>
      </w:r>
    </w:p>
    <w:p w:rsidR="001E0E0C" w:rsidRDefault="001E0E0C" w:rsidP="005D3B4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Cs w:val="24"/>
        </w:rPr>
      </w:pPr>
    </w:p>
    <w:p w:rsidR="001E0E0C" w:rsidRDefault="001E0E0C" w:rsidP="005D3B4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Cs w:val="24"/>
        </w:rPr>
      </w:pPr>
    </w:p>
    <w:p w:rsidR="001E0E0C" w:rsidRDefault="001E0E0C" w:rsidP="005D3B40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Cs w:val="24"/>
        </w:rPr>
      </w:pPr>
    </w:p>
    <w:p w:rsidR="00BC6286" w:rsidRDefault="00BC6286" w:rsidP="00DB7AD5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Cs w:val="24"/>
        </w:rPr>
      </w:pPr>
    </w:p>
    <w:sectPr w:rsidR="00BC6286" w:rsidSect="00294337">
      <w:footerReference w:type="default" r:id="rId9"/>
      <w:pgSz w:w="12240" w:h="15840"/>
      <w:pgMar w:top="284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A3" w:rsidRDefault="001E65A3" w:rsidP="00646E39">
      <w:r>
        <w:separator/>
      </w:r>
    </w:p>
  </w:endnote>
  <w:endnote w:type="continuationSeparator" w:id="0">
    <w:p w:rsidR="001E65A3" w:rsidRDefault="001E65A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BA5568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0544CF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A3" w:rsidRDefault="001E65A3" w:rsidP="00646E39">
      <w:r>
        <w:separator/>
      </w:r>
    </w:p>
  </w:footnote>
  <w:footnote w:type="continuationSeparator" w:id="0">
    <w:p w:rsidR="001E65A3" w:rsidRDefault="001E65A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3E1727"/>
    <w:multiLevelType w:val="hybridMultilevel"/>
    <w:tmpl w:val="E5F8093A"/>
    <w:lvl w:ilvl="0" w:tplc="66BCD56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B34C93"/>
    <w:multiLevelType w:val="hybridMultilevel"/>
    <w:tmpl w:val="1BF00D94"/>
    <w:lvl w:ilvl="0" w:tplc="0A68B242">
      <w:start w:val="3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6F1C"/>
    <w:multiLevelType w:val="hybridMultilevel"/>
    <w:tmpl w:val="E4C01C38"/>
    <w:lvl w:ilvl="0" w:tplc="46D0F70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D0484"/>
    <w:multiLevelType w:val="hybridMultilevel"/>
    <w:tmpl w:val="23E8F7DA"/>
    <w:lvl w:ilvl="0" w:tplc="40B00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91163"/>
    <w:multiLevelType w:val="hybridMultilevel"/>
    <w:tmpl w:val="414ECE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2B439C"/>
    <w:multiLevelType w:val="hybridMultilevel"/>
    <w:tmpl w:val="D7F46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A1774"/>
    <w:multiLevelType w:val="hybridMultilevel"/>
    <w:tmpl w:val="EA8A31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65BE"/>
    <w:multiLevelType w:val="hybridMultilevel"/>
    <w:tmpl w:val="159E966C"/>
    <w:lvl w:ilvl="0" w:tplc="31F604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6125"/>
    <w:rsid w:val="0004639E"/>
    <w:rsid w:val="00053D39"/>
    <w:rsid w:val="000544CF"/>
    <w:rsid w:val="00060BC9"/>
    <w:rsid w:val="0007006C"/>
    <w:rsid w:val="00070E30"/>
    <w:rsid w:val="000A415E"/>
    <w:rsid w:val="000B46BB"/>
    <w:rsid w:val="000E3E84"/>
    <w:rsid w:val="001160E8"/>
    <w:rsid w:val="00123129"/>
    <w:rsid w:val="00132042"/>
    <w:rsid w:val="0013744A"/>
    <w:rsid w:val="00146B10"/>
    <w:rsid w:val="001767A0"/>
    <w:rsid w:val="0018506B"/>
    <w:rsid w:val="001872A7"/>
    <w:rsid w:val="0019085B"/>
    <w:rsid w:val="00197D8E"/>
    <w:rsid w:val="001D27D1"/>
    <w:rsid w:val="001E0E0C"/>
    <w:rsid w:val="001E65A3"/>
    <w:rsid w:val="00210A29"/>
    <w:rsid w:val="00210E97"/>
    <w:rsid w:val="002244FC"/>
    <w:rsid w:val="00227098"/>
    <w:rsid w:val="0024010C"/>
    <w:rsid w:val="0024226A"/>
    <w:rsid w:val="0024731E"/>
    <w:rsid w:val="002521EC"/>
    <w:rsid w:val="00273234"/>
    <w:rsid w:val="002864BC"/>
    <w:rsid w:val="00287415"/>
    <w:rsid w:val="00294337"/>
    <w:rsid w:val="00294D6B"/>
    <w:rsid w:val="002A5795"/>
    <w:rsid w:val="002C0E78"/>
    <w:rsid w:val="002D38A3"/>
    <w:rsid w:val="002E2FA2"/>
    <w:rsid w:val="002F52D6"/>
    <w:rsid w:val="00303EA7"/>
    <w:rsid w:val="00303FE9"/>
    <w:rsid w:val="00313965"/>
    <w:rsid w:val="003229FB"/>
    <w:rsid w:val="00324765"/>
    <w:rsid w:val="0033312B"/>
    <w:rsid w:val="00337B29"/>
    <w:rsid w:val="00356381"/>
    <w:rsid w:val="00390295"/>
    <w:rsid w:val="003946AA"/>
    <w:rsid w:val="003960C1"/>
    <w:rsid w:val="0039754E"/>
    <w:rsid w:val="003C16FD"/>
    <w:rsid w:val="003C2B89"/>
    <w:rsid w:val="003C538B"/>
    <w:rsid w:val="003E7F6C"/>
    <w:rsid w:val="003F2860"/>
    <w:rsid w:val="003F3DBF"/>
    <w:rsid w:val="0041333B"/>
    <w:rsid w:val="00423065"/>
    <w:rsid w:val="00455178"/>
    <w:rsid w:val="0047169A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4F117D"/>
    <w:rsid w:val="0051244B"/>
    <w:rsid w:val="00520725"/>
    <w:rsid w:val="005207F0"/>
    <w:rsid w:val="00531FBB"/>
    <w:rsid w:val="0053563B"/>
    <w:rsid w:val="00540E0B"/>
    <w:rsid w:val="005454F7"/>
    <w:rsid w:val="00551E1A"/>
    <w:rsid w:val="0057390A"/>
    <w:rsid w:val="00575313"/>
    <w:rsid w:val="00575E70"/>
    <w:rsid w:val="00582FD3"/>
    <w:rsid w:val="005A270F"/>
    <w:rsid w:val="005B0554"/>
    <w:rsid w:val="005B0B22"/>
    <w:rsid w:val="005B55F0"/>
    <w:rsid w:val="005D3B40"/>
    <w:rsid w:val="005D3E3A"/>
    <w:rsid w:val="005D4FC4"/>
    <w:rsid w:val="00611C65"/>
    <w:rsid w:val="00614E93"/>
    <w:rsid w:val="00624906"/>
    <w:rsid w:val="006412B8"/>
    <w:rsid w:val="00646E39"/>
    <w:rsid w:val="00682242"/>
    <w:rsid w:val="00683A8C"/>
    <w:rsid w:val="00685BB1"/>
    <w:rsid w:val="00696720"/>
    <w:rsid w:val="006A3CC4"/>
    <w:rsid w:val="006B2322"/>
    <w:rsid w:val="006B3814"/>
    <w:rsid w:val="006B59F9"/>
    <w:rsid w:val="006B66A3"/>
    <w:rsid w:val="006C0838"/>
    <w:rsid w:val="006C7A7E"/>
    <w:rsid w:val="006E0D57"/>
    <w:rsid w:val="00701F0B"/>
    <w:rsid w:val="00720156"/>
    <w:rsid w:val="00722237"/>
    <w:rsid w:val="00723C32"/>
    <w:rsid w:val="00736601"/>
    <w:rsid w:val="00740909"/>
    <w:rsid w:val="007426A8"/>
    <w:rsid w:val="007436B3"/>
    <w:rsid w:val="00751E21"/>
    <w:rsid w:val="007706D6"/>
    <w:rsid w:val="00773011"/>
    <w:rsid w:val="007A7BCE"/>
    <w:rsid w:val="007B5AD1"/>
    <w:rsid w:val="007D4C5C"/>
    <w:rsid w:val="007D51CE"/>
    <w:rsid w:val="007D67F5"/>
    <w:rsid w:val="007E3ECB"/>
    <w:rsid w:val="007E6F52"/>
    <w:rsid w:val="007F08E0"/>
    <w:rsid w:val="007F19F0"/>
    <w:rsid w:val="007F7723"/>
    <w:rsid w:val="008106C5"/>
    <w:rsid w:val="00810C11"/>
    <w:rsid w:val="00821AAF"/>
    <w:rsid w:val="0084624F"/>
    <w:rsid w:val="0084742A"/>
    <w:rsid w:val="008715ED"/>
    <w:rsid w:val="008867D0"/>
    <w:rsid w:val="008E7FA2"/>
    <w:rsid w:val="009107C6"/>
    <w:rsid w:val="00917A69"/>
    <w:rsid w:val="009307B3"/>
    <w:rsid w:val="0093224E"/>
    <w:rsid w:val="00933E1F"/>
    <w:rsid w:val="00957246"/>
    <w:rsid w:val="00961B84"/>
    <w:rsid w:val="00975823"/>
    <w:rsid w:val="0097679E"/>
    <w:rsid w:val="009A2A63"/>
    <w:rsid w:val="009A5204"/>
    <w:rsid w:val="009B0C6D"/>
    <w:rsid w:val="009B14B2"/>
    <w:rsid w:val="009B779E"/>
    <w:rsid w:val="009D1C95"/>
    <w:rsid w:val="009D7180"/>
    <w:rsid w:val="009E21D9"/>
    <w:rsid w:val="009E7E58"/>
    <w:rsid w:val="009F46AD"/>
    <w:rsid w:val="009F48F8"/>
    <w:rsid w:val="00A017BF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347A"/>
    <w:rsid w:val="00B33C35"/>
    <w:rsid w:val="00B371F7"/>
    <w:rsid w:val="00B506F8"/>
    <w:rsid w:val="00B65168"/>
    <w:rsid w:val="00B70947"/>
    <w:rsid w:val="00B711C5"/>
    <w:rsid w:val="00B86FFB"/>
    <w:rsid w:val="00B95ED7"/>
    <w:rsid w:val="00BA5568"/>
    <w:rsid w:val="00BA7577"/>
    <w:rsid w:val="00BB0477"/>
    <w:rsid w:val="00BB75DA"/>
    <w:rsid w:val="00BC26EE"/>
    <w:rsid w:val="00BC6286"/>
    <w:rsid w:val="00C0505E"/>
    <w:rsid w:val="00C15480"/>
    <w:rsid w:val="00C26860"/>
    <w:rsid w:val="00C53B4E"/>
    <w:rsid w:val="00C57B5E"/>
    <w:rsid w:val="00C60A5C"/>
    <w:rsid w:val="00C66E3E"/>
    <w:rsid w:val="00C720F4"/>
    <w:rsid w:val="00C75C93"/>
    <w:rsid w:val="00C97CF2"/>
    <w:rsid w:val="00CA6885"/>
    <w:rsid w:val="00CB422B"/>
    <w:rsid w:val="00CB5515"/>
    <w:rsid w:val="00CC540E"/>
    <w:rsid w:val="00CE4338"/>
    <w:rsid w:val="00CF0FEF"/>
    <w:rsid w:val="00D13158"/>
    <w:rsid w:val="00D208A6"/>
    <w:rsid w:val="00D238CE"/>
    <w:rsid w:val="00D46D12"/>
    <w:rsid w:val="00D55831"/>
    <w:rsid w:val="00D57164"/>
    <w:rsid w:val="00D64996"/>
    <w:rsid w:val="00D66930"/>
    <w:rsid w:val="00D833A0"/>
    <w:rsid w:val="00D91831"/>
    <w:rsid w:val="00DB7AD5"/>
    <w:rsid w:val="00DC4EA3"/>
    <w:rsid w:val="00E20886"/>
    <w:rsid w:val="00E21954"/>
    <w:rsid w:val="00E25F52"/>
    <w:rsid w:val="00E26639"/>
    <w:rsid w:val="00E335AE"/>
    <w:rsid w:val="00E46C6E"/>
    <w:rsid w:val="00E47DA5"/>
    <w:rsid w:val="00E516AA"/>
    <w:rsid w:val="00E574AC"/>
    <w:rsid w:val="00E60511"/>
    <w:rsid w:val="00E62F07"/>
    <w:rsid w:val="00E65D3A"/>
    <w:rsid w:val="00E7319D"/>
    <w:rsid w:val="00E80C10"/>
    <w:rsid w:val="00E81CCC"/>
    <w:rsid w:val="00E83359"/>
    <w:rsid w:val="00E87985"/>
    <w:rsid w:val="00E91253"/>
    <w:rsid w:val="00E91284"/>
    <w:rsid w:val="00E95CE7"/>
    <w:rsid w:val="00EB7C76"/>
    <w:rsid w:val="00ED4432"/>
    <w:rsid w:val="00EF0989"/>
    <w:rsid w:val="00F41363"/>
    <w:rsid w:val="00F415DD"/>
    <w:rsid w:val="00F43048"/>
    <w:rsid w:val="00F729D0"/>
    <w:rsid w:val="00F77351"/>
    <w:rsid w:val="00F807D5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247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4765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2118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2020-08-17T08:02:00Z</cp:lastPrinted>
  <dcterms:created xsi:type="dcterms:W3CDTF">2021-01-19T13:37:00Z</dcterms:created>
  <dcterms:modified xsi:type="dcterms:W3CDTF">2021-01-19T13:37:00Z</dcterms:modified>
</cp:coreProperties>
</file>