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2F" w:rsidRDefault="00CF392F" w:rsidP="002553A7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672AE1" w:rsidRPr="00E8006A" w:rsidRDefault="004D2F24" w:rsidP="001835C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F55277">
        <w:rPr>
          <w:b/>
          <w:bCs/>
          <w:sz w:val="24"/>
          <w:szCs w:val="24"/>
        </w:rPr>
        <w:t>2912</w:t>
      </w:r>
      <w:r>
        <w:rPr>
          <w:b/>
          <w:bCs/>
          <w:sz w:val="24"/>
          <w:szCs w:val="24"/>
        </w:rPr>
        <w:t xml:space="preserve"> [</w:t>
      </w:r>
      <w:r w:rsidR="00F55277">
        <w:rPr>
          <w:rFonts w:eastAsia="Calibri" w:cs="Arial"/>
          <w:b/>
          <w:sz w:val="24"/>
          <w:szCs w:val="24"/>
          <w:lang w:eastAsia="en-US"/>
        </w:rPr>
        <w:t>NW35</w:t>
      </w:r>
      <w:r w:rsidR="0022173B" w:rsidRPr="0022173B">
        <w:rPr>
          <w:rFonts w:eastAsia="Calibri" w:cs="Arial"/>
          <w:b/>
          <w:sz w:val="24"/>
          <w:szCs w:val="24"/>
          <w:lang w:eastAsia="en-US"/>
        </w:rPr>
        <w:t>3</w:t>
      </w:r>
      <w:r w:rsidR="00F55277">
        <w:rPr>
          <w:rFonts w:eastAsia="Calibri" w:cs="Arial"/>
          <w:b/>
          <w:sz w:val="24"/>
          <w:szCs w:val="24"/>
          <w:lang w:eastAsia="en-US"/>
        </w:rPr>
        <w:t>8</w:t>
      </w:r>
      <w:r w:rsidR="0022173B" w:rsidRPr="0022173B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F55277">
        <w:rPr>
          <w:b/>
          <w:bCs/>
          <w:sz w:val="24"/>
          <w:szCs w:val="24"/>
        </w:rPr>
        <w:t>31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55277">
        <w:rPr>
          <w:b/>
          <w:bCs/>
          <w:sz w:val="24"/>
          <w:szCs w:val="24"/>
        </w:rPr>
        <w:t>09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1835C4">
        <w:rPr>
          <w:b/>
          <w:bCs/>
          <w:sz w:val="24"/>
          <w:szCs w:val="24"/>
        </w:rPr>
        <w:t>EPLY:</w:t>
      </w:r>
      <w:r w:rsidR="001835C4">
        <w:rPr>
          <w:b/>
          <w:bCs/>
          <w:sz w:val="24"/>
          <w:szCs w:val="24"/>
        </w:rPr>
        <w:tab/>
      </w:r>
      <w:r w:rsidR="001835C4">
        <w:rPr>
          <w:b/>
          <w:bCs/>
          <w:sz w:val="24"/>
          <w:szCs w:val="24"/>
        </w:rPr>
        <w:tab/>
      </w:r>
      <w:r w:rsidR="001835C4">
        <w:rPr>
          <w:b/>
          <w:bCs/>
          <w:sz w:val="24"/>
          <w:szCs w:val="24"/>
        </w:rPr>
        <w:tab/>
      </w:r>
      <w:r w:rsidR="001835C4">
        <w:rPr>
          <w:b/>
          <w:bCs/>
          <w:sz w:val="24"/>
          <w:szCs w:val="24"/>
        </w:rPr>
        <w:tab/>
      </w:r>
      <w:r w:rsidR="001835C4">
        <w:rPr>
          <w:b/>
          <w:bCs/>
          <w:sz w:val="24"/>
          <w:szCs w:val="24"/>
        </w:rPr>
        <w:tab/>
      </w:r>
      <w:r w:rsidR="001835C4">
        <w:rPr>
          <w:b/>
          <w:bCs/>
          <w:sz w:val="24"/>
          <w:szCs w:val="24"/>
        </w:rPr>
        <w:tab/>
        <w:t xml:space="preserve">           </w:t>
      </w:r>
      <w:r w:rsidR="00516586">
        <w:rPr>
          <w:b/>
          <w:bCs/>
          <w:sz w:val="24"/>
          <w:szCs w:val="24"/>
        </w:rPr>
        <w:t>30</w:t>
      </w:r>
      <w:r w:rsidR="001835C4">
        <w:rPr>
          <w:b/>
          <w:bCs/>
          <w:sz w:val="24"/>
          <w:szCs w:val="24"/>
        </w:rPr>
        <w:t xml:space="preserve"> </w:t>
      </w:r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1291F" w:rsidRPr="00EE3997" w:rsidRDefault="00F55277" w:rsidP="0022173B">
      <w:pPr>
        <w:tabs>
          <w:tab w:val="left" w:pos="2880"/>
        </w:tabs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2912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="0022173B" w:rsidRPr="0022173B">
        <w:rPr>
          <w:rFonts w:cs="Arial"/>
          <w:b/>
          <w:bCs/>
          <w:sz w:val="24"/>
          <w:szCs w:val="24"/>
          <w:lang w:eastAsia="en-US"/>
        </w:rPr>
        <w:t>Mr</w:t>
      </w:r>
      <w:r w:rsidR="0022173B">
        <w:rPr>
          <w:rFonts w:cs="Arial"/>
          <w:b/>
          <w:bCs/>
          <w:sz w:val="24"/>
          <w:szCs w:val="24"/>
          <w:lang w:eastAsia="en-US"/>
        </w:rPr>
        <w:t>.</w:t>
      </w:r>
      <w:r w:rsidR="0022173B" w:rsidRPr="0022173B">
        <w:rPr>
          <w:rFonts w:cs="Arial"/>
          <w:b/>
          <w:bCs/>
          <w:sz w:val="24"/>
          <w:szCs w:val="24"/>
          <w:lang w:eastAsia="en-US"/>
        </w:rPr>
        <w:t xml:space="preserve"> S S Zondo (IFP)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394A14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394A14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F55277" w:rsidRPr="00F55277" w:rsidRDefault="00F55277" w:rsidP="00F55277">
      <w:pPr>
        <w:autoSpaceDE w:val="0"/>
        <w:autoSpaceDN w:val="0"/>
        <w:adjustRightInd w:val="0"/>
        <w:spacing w:before="100" w:beforeAutospacing="1" w:after="100" w:afterAutospacing="1" w:line="259" w:lineRule="auto"/>
        <w:ind w:left="1439" w:right="26" w:hanging="730"/>
        <w:rPr>
          <w:rFonts w:cs="Arial"/>
          <w:sz w:val="24"/>
          <w:szCs w:val="24"/>
          <w:lang w:eastAsia="en-US"/>
        </w:rPr>
      </w:pPr>
      <w:r w:rsidRPr="00F55277">
        <w:rPr>
          <w:rFonts w:cs="Arial"/>
          <w:sz w:val="24"/>
          <w:szCs w:val="24"/>
          <w:lang w:eastAsia="en-US"/>
        </w:rPr>
        <w:t>(1)</w:t>
      </w:r>
      <w:r w:rsidRPr="00F55277">
        <w:rPr>
          <w:rFonts w:cs="Arial"/>
          <w:sz w:val="24"/>
          <w:szCs w:val="24"/>
          <w:lang w:eastAsia="en-US"/>
        </w:rPr>
        <w:tab/>
        <w:t xml:space="preserve">What steps is her </w:t>
      </w:r>
      <w:r w:rsidR="00FE27DC">
        <w:rPr>
          <w:rFonts w:cs="Arial"/>
          <w:sz w:val="24"/>
          <w:szCs w:val="24"/>
          <w:lang w:eastAsia="en-US"/>
        </w:rPr>
        <w:t>D</w:t>
      </w:r>
      <w:r w:rsidRPr="00F55277">
        <w:rPr>
          <w:rFonts w:cs="Arial"/>
          <w:sz w:val="24"/>
          <w:szCs w:val="24"/>
          <w:lang w:eastAsia="en-US"/>
        </w:rPr>
        <w:t>epartment taking against companies flagged for corruption and looting of funds for the rebuilding of infrastructure in KwaZulu-Natal following the April flood disaster;</w:t>
      </w:r>
    </w:p>
    <w:p w:rsidR="00F55277" w:rsidRPr="00F55277" w:rsidRDefault="00F55277" w:rsidP="00F55277">
      <w:pPr>
        <w:autoSpaceDE w:val="0"/>
        <w:autoSpaceDN w:val="0"/>
        <w:adjustRightInd w:val="0"/>
        <w:spacing w:before="100" w:beforeAutospacing="1" w:after="100" w:afterAutospacing="1" w:line="259" w:lineRule="auto"/>
        <w:ind w:left="1439" w:right="26" w:hanging="730"/>
        <w:rPr>
          <w:rFonts w:cs="Arial"/>
          <w:b/>
          <w:sz w:val="24"/>
          <w:szCs w:val="24"/>
          <w:lang w:eastAsia="en-US"/>
        </w:rPr>
      </w:pPr>
      <w:r w:rsidRPr="00F55277">
        <w:rPr>
          <w:rFonts w:cs="Arial"/>
          <w:sz w:val="24"/>
          <w:szCs w:val="24"/>
          <w:lang w:eastAsia="en-US"/>
        </w:rPr>
        <w:t>(2)</w:t>
      </w:r>
      <w:r w:rsidRPr="00F55277">
        <w:rPr>
          <w:rFonts w:cs="Arial"/>
          <w:sz w:val="24"/>
          <w:szCs w:val="24"/>
          <w:lang w:eastAsia="en-US"/>
        </w:rPr>
        <w:tab/>
        <w:t>whether any contract been cancelled following the Auditor</w:t>
      </w:r>
      <w:r w:rsidRPr="00F55277">
        <w:rPr>
          <w:rFonts w:cs="Arial"/>
          <w:sz w:val="24"/>
          <w:szCs w:val="24"/>
          <w:lang w:eastAsia="en-US"/>
        </w:rPr>
        <w:noBreakHyphen/>
        <w:t>General</w:t>
      </w:r>
      <w:r w:rsidR="00FE27DC">
        <w:rPr>
          <w:rFonts w:cs="Arial"/>
          <w:sz w:val="24"/>
          <w:szCs w:val="24"/>
          <w:lang w:eastAsia="en-US"/>
        </w:rPr>
        <w:t>’</w:t>
      </w:r>
      <w:r w:rsidRPr="00F55277">
        <w:rPr>
          <w:rFonts w:cs="Arial"/>
          <w:sz w:val="24"/>
          <w:szCs w:val="24"/>
          <w:lang w:eastAsia="en-US"/>
        </w:rPr>
        <w:t>s red flagging of dubious contracts linked to the rebuilding efforts; if not, why not; if so,</w:t>
      </w:r>
      <w:r>
        <w:rPr>
          <w:rFonts w:cs="Arial"/>
          <w:sz w:val="24"/>
          <w:szCs w:val="24"/>
          <w:lang w:eastAsia="en-US"/>
        </w:rPr>
        <w:t xml:space="preserve"> what are the relevant details?</w:t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  <w:t xml:space="preserve">          </w:t>
      </w:r>
      <w:r w:rsidRPr="00F55277">
        <w:rPr>
          <w:rFonts w:cs="Arial"/>
          <w:b/>
          <w:sz w:val="24"/>
          <w:szCs w:val="24"/>
          <w:lang w:eastAsia="en-US"/>
        </w:rPr>
        <w:t>NW3538E</w:t>
      </w:r>
    </w:p>
    <w:p w:rsidR="0071291F" w:rsidRPr="0022173B" w:rsidRDefault="0071291F" w:rsidP="0022173B">
      <w:pPr>
        <w:spacing w:line="259" w:lineRule="auto"/>
        <w:ind w:left="7920" w:right="26"/>
        <w:outlineLvl w:val="0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827605" w:rsidRPr="00D21FE5" w:rsidRDefault="00745B02" w:rsidP="00A23E18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Pr="00A96086" w:rsidRDefault="00745B02" w:rsidP="00CD1764">
      <w:pPr>
        <w:spacing w:line="360" w:lineRule="auto"/>
        <w:rPr>
          <w:bCs/>
          <w:color w:val="FF0000"/>
          <w:sz w:val="24"/>
          <w:szCs w:val="24"/>
        </w:rPr>
      </w:pPr>
      <w:r w:rsidRPr="00A96086">
        <w:rPr>
          <w:b/>
          <w:bCs/>
          <w:color w:val="FF0000"/>
          <w:sz w:val="24"/>
          <w:szCs w:val="24"/>
        </w:rPr>
        <w:t xml:space="preserve">The Minister of </w:t>
      </w:r>
      <w:r w:rsidR="00922748" w:rsidRPr="00A96086">
        <w:rPr>
          <w:b/>
          <w:bCs/>
          <w:color w:val="FF0000"/>
          <w:sz w:val="24"/>
          <w:szCs w:val="24"/>
        </w:rPr>
        <w:t>Public Works and Infrastructure</w:t>
      </w:r>
    </w:p>
    <w:p w:rsidR="00C42257" w:rsidRDefault="00C42257" w:rsidP="00CF392F">
      <w:pPr>
        <w:spacing w:line="360" w:lineRule="auto"/>
        <w:ind w:left="720" w:hanging="720"/>
        <w:rPr>
          <w:bCs/>
          <w:sz w:val="24"/>
          <w:szCs w:val="24"/>
        </w:rPr>
      </w:pPr>
      <w:bookmarkStart w:id="0" w:name="_GoBack"/>
      <w:bookmarkEnd w:id="0"/>
    </w:p>
    <w:p w:rsidR="00C42257" w:rsidRDefault="001835C4" w:rsidP="001835C4">
      <w:pPr>
        <w:pStyle w:val="ListParagraph"/>
        <w:numPr>
          <w:ilvl w:val="0"/>
          <w:numId w:val="40"/>
        </w:numPr>
        <w:spacing w:line="360" w:lineRule="auto"/>
        <w:rPr>
          <w:bCs/>
          <w:sz w:val="24"/>
          <w:szCs w:val="24"/>
        </w:rPr>
      </w:pPr>
      <w:r w:rsidRPr="001835C4">
        <w:rPr>
          <w:bCs/>
          <w:sz w:val="24"/>
          <w:szCs w:val="24"/>
        </w:rPr>
        <w:t>The A</w:t>
      </w:r>
      <w:r w:rsidR="009433F0">
        <w:rPr>
          <w:bCs/>
          <w:sz w:val="24"/>
          <w:szCs w:val="24"/>
        </w:rPr>
        <w:t>uditor General of South Africa (AGSA) findings we</w:t>
      </w:r>
      <w:r w:rsidRPr="001835C4">
        <w:rPr>
          <w:bCs/>
          <w:sz w:val="24"/>
          <w:szCs w:val="24"/>
        </w:rPr>
        <w:t>re noted</w:t>
      </w:r>
      <w:r w:rsidR="009433F0">
        <w:rPr>
          <w:bCs/>
          <w:sz w:val="24"/>
          <w:szCs w:val="24"/>
        </w:rPr>
        <w:t>. I</w:t>
      </w:r>
      <w:r w:rsidRPr="001835C4">
        <w:rPr>
          <w:bCs/>
          <w:sz w:val="24"/>
          <w:szCs w:val="24"/>
        </w:rPr>
        <w:t>n response</w:t>
      </w:r>
      <w:r w:rsidR="00FE27DC">
        <w:rPr>
          <w:bCs/>
          <w:sz w:val="24"/>
          <w:szCs w:val="24"/>
        </w:rPr>
        <w:t>,</w:t>
      </w:r>
      <w:r w:rsidRPr="001835C4">
        <w:rPr>
          <w:bCs/>
          <w:sz w:val="24"/>
          <w:szCs w:val="24"/>
        </w:rPr>
        <w:t xml:space="preserve"> the Department</w:t>
      </w:r>
      <w:r w:rsidR="009433F0">
        <w:rPr>
          <w:bCs/>
          <w:sz w:val="24"/>
          <w:szCs w:val="24"/>
        </w:rPr>
        <w:t xml:space="preserve"> of Public Works and Infrastructure (DPWI)</w:t>
      </w:r>
      <w:r w:rsidR="00FE27DC">
        <w:rPr>
          <w:bCs/>
          <w:sz w:val="24"/>
          <w:szCs w:val="24"/>
        </w:rPr>
        <w:t>,</w:t>
      </w:r>
      <w:r w:rsidRPr="001835C4">
        <w:rPr>
          <w:bCs/>
          <w:sz w:val="24"/>
          <w:szCs w:val="24"/>
        </w:rPr>
        <w:t xml:space="preserve"> through its KZN regiona</w:t>
      </w:r>
      <w:r w:rsidR="00FE27DC">
        <w:rPr>
          <w:bCs/>
          <w:sz w:val="24"/>
          <w:szCs w:val="24"/>
        </w:rPr>
        <w:t>l</w:t>
      </w:r>
      <w:r w:rsidRPr="001835C4">
        <w:rPr>
          <w:bCs/>
          <w:sz w:val="24"/>
          <w:szCs w:val="24"/>
        </w:rPr>
        <w:t xml:space="preserve"> office</w:t>
      </w:r>
      <w:r w:rsidR="00FE27DC">
        <w:rPr>
          <w:bCs/>
          <w:sz w:val="24"/>
          <w:szCs w:val="24"/>
        </w:rPr>
        <w:t>,</w:t>
      </w:r>
      <w:r w:rsidRPr="001835C4">
        <w:rPr>
          <w:bCs/>
          <w:sz w:val="24"/>
          <w:szCs w:val="24"/>
        </w:rPr>
        <w:t xml:space="preserve"> prepared a comprehensive report on actions taken and recommendations thereto, in consultation with the D</w:t>
      </w:r>
      <w:r>
        <w:rPr>
          <w:bCs/>
          <w:sz w:val="24"/>
          <w:szCs w:val="24"/>
        </w:rPr>
        <w:t>irectors General</w:t>
      </w:r>
      <w:r w:rsidRPr="001835C4">
        <w:rPr>
          <w:bCs/>
          <w:sz w:val="24"/>
          <w:szCs w:val="24"/>
        </w:rPr>
        <w:t>: P</w:t>
      </w:r>
      <w:r>
        <w:rPr>
          <w:bCs/>
          <w:sz w:val="24"/>
          <w:szCs w:val="24"/>
        </w:rPr>
        <w:t>roject Management Office</w:t>
      </w:r>
      <w:r w:rsidRPr="001835C4">
        <w:rPr>
          <w:bCs/>
          <w:sz w:val="24"/>
          <w:szCs w:val="24"/>
        </w:rPr>
        <w:t xml:space="preserve"> and F</w:t>
      </w:r>
      <w:r w:rsidR="00EF29B8">
        <w:rPr>
          <w:bCs/>
          <w:sz w:val="24"/>
          <w:szCs w:val="24"/>
        </w:rPr>
        <w:t>acilities</w:t>
      </w:r>
      <w:r>
        <w:rPr>
          <w:bCs/>
          <w:sz w:val="24"/>
          <w:szCs w:val="24"/>
        </w:rPr>
        <w:t xml:space="preserve"> Management</w:t>
      </w:r>
      <w:r w:rsidRPr="001835C4">
        <w:rPr>
          <w:bCs/>
          <w:sz w:val="24"/>
          <w:szCs w:val="24"/>
        </w:rPr>
        <w:t xml:space="preserve">, which was submitted to the Director General and Head: </w:t>
      </w:r>
      <w:r w:rsidRPr="001835C4">
        <w:rPr>
          <w:bCs/>
          <w:sz w:val="24"/>
          <w:szCs w:val="24"/>
        </w:rPr>
        <w:lastRenderedPageBreak/>
        <w:t>P</w:t>
      </w:r>
      <w:r>
        <w:rPr>
          <w:bCs/>
          <w:sz w:val="24"/>
          <w:szCs w:val="24"/>
        </w:rPr>
        <w:t>roperty Management Trading Entity (P</w:t>
      </w:r>
      <w:r w:rsidRPr="001835C4">
        <w:rPr>
          <w:bCs/>
          <w:sz w:val="24"/>
          <w:szCs w:val="24"/>
        </w:rPr>
        <w:t>MTE</w:t>
      </w:r>
      <w:r>
        <w:rPr>
          <w:bCs/>
          <w:sz w:val="24"/>
          <w:szCs w:val="24"/>
        </w:rPr>
        <w:t>)</w:t>
      </w:r>
      <w:r w:rsidRPr="001835C4">
        <w:rPr>
          <w:bCs/>
          <w:sz w:val="24"/>
          <w:szCs w:val="24"/>
        </w:rPr>
        <w:t xml:space="preserve"> dated 28 August 2022. The matter was also referred to </w:t>
      </w:r>
      <w:r w:rsidR="00FE27DC">
        <w:rPr>
          <w:bCs/>
          <w:sz w:val="24"/>
          <w:szCs w:val="24"/>
        </w:rPr>
        <w:t xml:space="preserve">the </w:t>
      </w:r>
      <w:r w:rsidRPr="001835C4">
        <w:rPr>
          <w:bCs/>
          <w:sz w:val="24"/>
          <w:szCs w:val="24"/>
        </w:rPr>
        <w:t>Labour Relations unit in the Department for further investigation.</w:t>
      </w:r>
    </w:p>
    <w:p w:rsidR="009433F0" w:rsidRPr="001835C4" w:rsidRDefault="009433F0" w:rsidP="009433F0">
      <w:pPr>
        <w:pStyle w:val="ListParagraph"/>
        <w:spacing w:line="360" w:lineRule="auto"/>
        <w:rPr>
          <w:bCs/>
          <w:sz w:val="24"/>
          <w:szCs w:val="24"/>
        </w:rPr>
      </w:pPr>
    </w:p>
    <w:p w:rsidR="001835C4" w:rsidRDefault="001835C4" w:rsidP="001835C4">
      <w:pPr>
        <w:pStyle w:val="ListParagraph"/>
        <w:spacing w:line="360" w:lineRule="auto"/>
        <w:rPr>
          <w:bCs/>
          <w:sz w:val="24"/>
          <w:szCs w:val="24"/>
        </w:rPr>
      </w:pPr>
      <w:r w:rsidRPr="001835C4">
        <w:rPr>
          <w:bCs/>
          <w:sz w:val="24"/>
          <w:szCs w:val="24"/>
        </w:rPr>
        <w:t xml:space="preserve">In addition to the above, information was forwarded to the Special Investigative unit (SIU) as </w:t>
      </w:r>
      <w:r w:rsidR="00FE27DC">
        <w:rPr>
          <w:bCs/>
          <w:sz w:val="24"/>
          <w:szCs w:val="24"/>
        </w:rPr>
        <w:t>requested</w:t>
      </w:r>
      <w:r w:rsidRPr="001835C4">
        <w:rPr>
          <w:bCs/>
          <w:sz w:val="24"/>
          <w:szCs w:val="24"/>
        </w:rPr>
        <w:t xml:space="preserve"> in a letter dated 30 August 2022. Both processes are still unfolding</w:t>
      </w:r>
      <w:r w:rsidR="00FE27DC">
        <w:rPr>
          <w:bCs/>
          <w:sz w:val="24"/>
          <w:szCs w:val="24"/>
        </w:rPr>
        <w:t>,</w:t>
      </w:r>
      <w:r w:rsidRPr="001835C4">
        <w:rPr>
          <w:bCs/>
          <w:sz w:val="24"/>
          <w:szCs w:val="24"/>
        </w:rPr>
        <w:t xml:space="preserve"> and </w:t>
      </w:r>
      <w:r w:rsidR="00FE27DC">
        <w:rPr>
          <w:bCs/>
          <w:sz w:val="24"/>
          <w:szCs w:val="24"/>
        </w:rPr>
        <w:t>the outcome of both processes will guide any further action</w:t>
      </w:r>
      <w:r w:rsidRPr="001835C4">
        <w:rPr>
          <w:bCs/>
          <w:sz w:val="24"/>
          <w:szCs w:val="24"/>
        </w:rPr>
        <w:t>.</w:t>
      </w:r>
    </w:p>
    <w:p w:rsidR="001835C4" w:rsidRDefault="001835C4" w:rsidP="001835C4">
      <w:pPr>
        <w:pStyle w:val="ListParagraph"/>
        <w:spacing w:line="360" w:lineRule="auto"/>
        <w:rPr>
          <w:bCs/>
          <w:sz w:val="24"/>
          <w:szCs w:val="24"/>
        </w:rPr>
      </w:pPr>
    </w:p>
    <w:p w:rsidR="001835C4" w:rsidRPr="001835C4" w:rsidRDefault="001835C4" w:rsidP="001835C4">
      <w:pPr>
        <w:pStyle w:val="ListParagraph"/>
        <w:tabs>
          <w:tab w:val="left" w:pos="426"/>
        </w:tabs>
        <w:spacing w:line="360" w:lineRule="auto"/>
        <w:ind w:hanging="436"/>
        <w:rPr>
          <w:bCs/>
          <w:sz w:val="24"/>
          <w:szCs w:val="24"/>
        </w:rPr>
      </w:pPr>
      <w:r w:rsidRPr="001835C4">
        <w:rPr>
          <w:bCs/>
          <w:sz w:val="24"/>
          <w:szCs w:val="24"/>
        </w:rPr>
        <w:t>(2) To date</w:t>
      </w:r>
      <w:r w:rsidR="00FE27DC">
        <w:rPr>
          <w:bCs/>
          <w:sz w:val="24"/>
          <w:szCs w:val="24"/>
        </w:rPr>
        <w:t>,</w:t>
      </w:r>
      <w:r w:rsidRPr="001835C4">
        <w:rPr>
          <w:bCs/>
          <w:sz w:val="24"/>
          <w:szCs w:val="24"/>
        </w:rPr>
        <w:t xml:space="preserve"> the Department has not paid any service provider for the refurbishment of</w:t>
      </w:r>
      <w:r>
        <w:rPr>
          <w:bCs/>
          <w:sz w:val="24"/>
          <w:szCs w:val="24"/>
        </w:rPr>
        <w:t xml:space="preserve"> </w:t>
      </w:r>
      <w:r w:rsidRPr="001835C4">
        <w:rPr>
          <w:bCs/>
          <w:sz w:val="24"/>
          <w:szCs w:val="24"/>
        </w:rPr>
        <w:t>infrastructure owing to the April storm damages</w:t>
      </w:r>
      <w:r w:rsidR="00FE27DC">
        <w:rPr>
          <w:bCs/>
          <w:sz w:val="24"/>
          <w:szCs w:val="24"/>
        </w:rPr>
        <w:t>,</w:t>
      </w:r>
      <w:r w:rsidRPr="001835C4">
        <w:rPr>
          <w:bCs/>
          <w:sz w:val="24"/>
          <w:szCs w:val="24"/>
        </w:rPr>
        <w:t xml:space="preserve"> even though all work on infrastructure was finished months ago. The payments will be processed once the investigation report has been finalised.</w:t>
      </w:r>
    </w:p>
    <w:p w:rsidR="00CF392F" w:rsidRDefault="00CF392F" w:rsidP="00CF392F">
      <w:pPr>
        <w:spacing w:line="360" w:lineRule="auto"/>
        <w:ind w:left="720" w:hanging="720"/>
        <w:rPr>
          <w:bCs/>
          <w:sz w:val="24"/>
          <w:szCs w:val="24"/>
        </w:rPr>
      </w:pPr>
    </w:p>
    <w:p w:rsidR="00C42257" w:rsidRPr="00C42257" w:rsidRDefault="00C42257" w:rsidP="00CF392F">
      <w:pPr>
        <w:spacing w:line="360" w:lineRule="auto"/>
        <w:ind w:left="720" w:hanging="720"/>
        <w:rPr>
          <w:bCs/>
          <w:sz w:val="24"/>
          <w:szCs w:val="24"/>
        </w:rPr>
      </w:pPr>
    </w:p>
    <w:sectPr w:rsidR="00C42257" w:rsidRPr="00C42257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8A" w:rsidRDefault="0062748A" w:rsidP="00B01072">
      <w:r>
        <w:separator/>
      </w:r>
    </w:p>
  </w:endnote>
  <w:endnote w:type="continuationSeparator" w:id="0">
    <w:p w:rsidR="0062748A" w:rsidRDefault="0062748A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CF392F">
      <w:rPr>
        <w:rFonts w:eastAsiaTheme="majorEastAsia" w:cs="Arial"/>
        <w:b/>
        <w:bCs/>
        <w:sz w:val="18"/>
        <w:szCs w:val="18"/>
        <w:lang w:val="en-US"/>
      </w:rPr>
      <w:t>IONAL ASSEMBLY QUESTION NO. 291</w:t>
    </w:r>
    <w:r w:rsidR="0022173B">
      <w:rPr>
        <w:rFonts w:eastAsiaTheme="majorEastAsia" w:cs="Arial"/>
        <w:b/>
        <w:bCs/>
        <w:sz w:val="18"/>
        <w:szCs w:val="18"/>
        <w:lang w:val="en-US"/>
      </w:rPr>
      <w:t>2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22173B" w:rsidRPr="0022173B">
      <w:rPr>
        <w:rFonts w:eastAsiaTheme="majorEastAsia" w:cs="Arial"/>
        <w:b/>
        <w:bCs/>
        <w:sz w:val="18"/>
        <w:szCs w:val="18"/>
        <w:lang w:val="en-US"/>
      </w:rPr>
      <w:t>Mr. S S Zondo (IFP)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394A14" w:rsidRPr="00394A14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394A14" w:rsidRPr="00394A14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62748A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394A14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8A" w:rsidRDefault="0062748A" w:rsidP="00B01072">
      <w:r>
        <w:separator/>
      </w:r>
    </w:p>
  </w:footnote>
  <w:footnote w:type="continuationSeparator" w:id="0">
    <w:p w:rsidR="0062748A" w:rsidRDefault="0062748A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70C1E"/>
    <w:multiLevelType w:val="hybridMultilevel"/>
    <w:tmpl w:val="DE306A76"/>
    <w:lvl w:ilvl="0" w:tplc="46E4F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8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26"/>
  </w:num>
  <w:num w:numId="5">
    <w:abstractNumId w:val="9"/>
  </w:num>
  <w:num w:numId="6">
    <w:abstractNumId w:val="37"/>
  </w:num>
  <w:num w:numId="7">
    <w:abstractNumId w:val="33"/>
  </w:num>
  <w:num w:numId="8">
    <w:abstractNumId w:val="31"/>
  </w:num>
  <w:num w:numId="9">
    <w:abstractNumId w:val="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13"/>
  </w:num>
  <w:num w:numId="15">
    <w:abstractNumId w:val="3"/>
  </w:num>
  <w:num w:numId="16">
    <w:abstractNumId w:val="38"/>
  </w:num>
  <w:num w:numId="17">
    <w:abstractNumId w:val="7"/>
  </w:num>
  <w:num w:numId="18">
    <w:abstractNumId w:val="27"/>
  </w:num>
  <w:num w:numId="19">
    <w:abstractNumId w:val="10"/>
  </w:num>
  <w:num w:numId="20">
    <w:abstractNumId w:val="29"/>
  </w:num>
  <w:num w:numId="21">
    <w:abstractNumId w:val="0"/>
  </w:num>
  <w:num w:numId="22">
    <w:abstractNumId w:val="15"/>
  </w:num>
  <w:num w:numId="23">
    <w:abstractNumId w:val="22"/>
  </w:num>
  <w:num w:numId="24">
    <w:abstractNumId w:val="17"/>
  </w:num>
  <w:num w:numId="25">
    <w:abstractNumId w:val="20"/>
  </w:num>
  <w:num w:numId="26">
    <w:abstractNumId w:val="39"/>
  </w:num>
  <w:num w:numId="27">
    <w:abstractNumId w:val="30"/>
  </w:num>
  <w:num w:numId="28">
    <w:abstractNumId w:val="32"/>
  </w:num>
  <w:num w:numId="29">
    <w:abstractNumId w:val="35"/>
  </w:num>
  <w:num w:numId="30">
    <w:abstractNumId w:val="2"/>
  </w:num>
  <w:num w:numId="31">
    <w:abstractNumId w:val="36"/>
  </w:num>
  <w:num w:numId="32">
    <w:abstractNumId w:val="8"/>
  </w:num>
  <w:num w:numId="33">
    <w:abstractNumId w:val="21"/>
  </w:num>
  <w:num w:numId="34">
    <w:abstractNumId w:val="34"/>
  </w:num>
  <w:num w:numId="35">
    <w:abstractNumId w:val="25"/>
  </w:num>
  <w:num w:numId="36">
    <w:abstractNumId w:val="19"/>
  </w:num>
  <w:num w:numId="37">
    <w:abstractNumId w:val="23"/>
  </w:num>
  <w:num w:numId="38">
    <w:abstractNumId w:val="1"/>
  </w:num>
  <w:num w:numId="39">
    <w:abstractNumId w:val="12"/>
  </w:num>
  <w:num w:numId="40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sLA0NjcztzQ0NjM2NTVU0lEKTi0uzszPAykwrgUAdk3mKSwAAAA="/>
  </w:docVars>
  <w:rsids>
    <w:rsidRoot w:val="004D2F24"/>
    <w:rsid w:val="0000062A"/>
    <w:rsid w:val="0000341D"/>
    <w:rsid w:val="00006F15"/>
    <w:rsid w:val="00007D1D"/>
    <w:rsid w:val="00011622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5C4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077D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802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4A14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586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4AE0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48A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3B3A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3569"/>
    <w:rsid w:val="008143ED"/>
    <w:rsid w:val="00815C6A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33F0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4686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5770F"/>
    <w:rsid w:val="00B6014D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1142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392F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29B8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7DC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CD9E-A56E-4B5F-BE87-817438E3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2022-05-05T20:39:00Z</cp:lastPrinted>
  <dcterms:created xsi:type="dcterms:W3CDTF">2022-10-03T11:55:00Z</dcterms:created>
  <dcterms:modified xsi:type="dcterms:W3CDTF">2022-10-03T11:55:00Z</dcterms:modified>
</cp:coreProperties>
</file>