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059375D1" wp14:editId="051B8309">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03553E" w:rsidRDefault="00642A1D" w:rsidP="00642A1D">
      <w:pPr>
        <w:tabs>
          <w:tab w:val="left" w:pos="432"/>
          <w:tab w:val="left" w:pos="864"/>
        </w:tabs>
        <w:spacing w:line="276" w:lineRule="auto"/>
        <w:jc w:val="center"/>
        <w:rPr>
          <w:rFonts w:ascii="Arial" w:hAnsi="Arial" w:cs="Arial"/>
          <w:b/>
          <w:lang w:val="en-US"/>
        </w:rPr>
      </w:pPr>
      <w:r w:rsidRPr="0003553E">
        <w:rPr>
          <w:rFonts w:ascii="Arial" w:hAnsi="Arial" w:cs="Arial"/>
          <w:b/>
          <w:lang w:val="en-US"/>
        </w:rPr>
        <w:t>NATIONAL ASSEMBLY</w:t>
      </w:r>
    </w:p>
    <w:p w:rsidR="00642A1D" w:rsidRPr="0003553E" w:rsidRDefault="00642A1D" w:rsidP="00642A1D">
      <w:pPr>
        <w:tabs>
          <w:tab w:val="left" w:pos="432"/>
          <w:tab w:val="left" w:pos="864"/>
        </w:tabs>
        <w:spacing w:line="276" w:lineRule="auto"/>
        <w:jc w:val="center"/>
        <w:rPr>
          <w:rFonts w:ascii="Arial" w:hAnsi="Arial" w:cs="Arial"/>
          <w:b/>
          <w:lang w:val="en-US"/>
        </w:rPr>
      </w:pPr>
    </w:p>
    <w:p w:rsidR="00642A1D" w:rsidRPr="0003553E" w:rsidRDefault="00642A1D" w:rsidP="00642A1D">
      <w:pPr>
        <w:tabs>
          <w:tab w:val="left" w:pos="432"/>
          <w:tab w:val="left" w:pos="864"/>
        </w:tabs>
        <w:spacing w:line="276" w:lineRule="auto"/>
        <w:rPr>
          <w:rFonts w:ascii="Arial" w:hAnsi="Arial" w:cs="Arial"/>
          <w:b/>
          <w:lang w:val="en-US"/>
        </w:rPr>
      </w:pPr>
      <w:r w:rsidRPr="0003553E">
        <w:rPr>
          <w:rFonts w:ascii="Arial" w:hAnsi="Arial" w:cs="Arial"/>
          <w:b/>
          <w:lang w:val="en-US"/>
        </w:rPr>
        <w:t>QUESTION FOR WRITTEN REPLY</w:t>
      </w:r>
    </w:p>
    <w:p w:rsidR="00642A1D" w:rsidRPr="0003553E" w:rsidRDefault="00642A1D" w:rsidP="00642A1D">
      <w:pPr>
        <w:tabs>
          <w:tab w:val="left" w:pos="432"/>
          <w:tab w:val="left" w:pos="864"/>
        </w:tabs>
        <w:spacing w:line="276" w:lineRule="auto"/>
        <w:rPr>
          <w:rFonts w:ascii="Arial" w:hAnsi="Arial" w:cs="Arial"/>
          <w:b/>
          <w:lang w:val="en-US"/>
        </w:rPr>
      </w:pPr>
      <w:r w:rsidRPr="0003553E">
        <w:rPr>
          <w:rFonts w:ascii="Arial" w:hAnsi="Arial" w:cs="Arial"/>
          <w:b/>
          <w:lang w:val="en-US"/>
        </w:rPr>
        <w:t>QUESTION NUMBER:</w:t>
      </w:r>
      <w:r w:rsidR="00D41FC8" w:rsidRPr="0003553E">
        <w:rPr>
          <w:rFonts w:ascii="Arial" w:hAnsi="Arial" w:cs="Arial"/>
          <w:b/>
          <w:noProof/>
          <w:lang w:val="af-ZA"/>
        </w:rPr>
        <w:t xml:space="preserve"> 2911</w:t>
      </w:r>
      <w:r w:rsidR="00D41FC8" w:rsidRPr="0003553E">
        <w:rPr>
          <w:rFonts w:ascii="Arial" w:hAnsi="Arial" w:cs="Arial"/>
          <w:b/>
          <w:lang w:val="en-US"/>
        </w:rPr>
        <w:t xml:space="preserve"> </w:t>
      </w:r>
      <w:r w:rsidRPr="0003553E">
        <w:rPr>
          <w:rFonts w:ascii="Arial" w:hAnsi="Arial" w:cs="Arial"/>
          <w:b/>
          <w:lang w:val="en-US"/>
        </w:rPr>
        <w:t>[</w:t>
      </w:r>
      <w:r w:rsidR="00D41FC8" w:rsidRPr="0003553E">
        <w:rPr>
          <w:rFonts w:ascii="Arial" w:hAnsi="Arial" w:cs="Arial"/>
          <w:noProof/>
          <w:lang w:val="af-ZA"/>
        </w:rPr>
        <w:t>NW3225E</w:t>
      </w:r>
      <w:r w:rsidRPr="0003553E">
        <w:rPr>
          <w:rFonts w:ascii="Arial" w:hAnsi="Arial" w:cs="Arial"/>
          <w:b/>
          <w:lang w:val="en-US"/>
        </w:rPr>
        <w:t>]</w:t>
      </w:r>
    </w:p>
    <w:p w:rsidR="00642A1D" w:rsidRPr="0003553E" w:rsidRDefault="00642A1D" w:rsidP="00642A1D">
      <w:pPr>
        <w:tabs>
          <w:tab w:val="left" w:pos="432"/>
          <w:tab w:val="left" w:pos="864"/>
        </w:tabs>
        <w:spacing w:line="276" w:lineRule="auto"/>
        <w:rPr>
          <w:rFonts w:ascii="Arial" w:hAnsi="Arial" w:cs="Arial"/>
          <w:b/>
          <w:lang w:val="en-US"/>
        </w:rPr>
      </w:pPr>
      <w:r w:rsidRPr="0003553E">
        <w:rPr>
          <w:rFonts w:ascii="Arial" w:hAnsi="Arial" w:cs="Arial"/>
          <w:b/>
          <w:lang w:val="en-US"/>
        </w:rPr>
        <w:t xml:space="preserve">DATE OF PUBLICATION: </w:t>
      </w:r>
      <w:r w:rsidR="00D41FC8" w:rsidRPr="0003553E">
        <w:rPr>
          <w:rFonts w:ascii="Arial" w:hAnsi="Arial" w:cs="Arial"/>
          <w:b/>
          <w:lang w:val="en-US"/>
        </w:rPr>
        <w:t>06 October 2017</w:t>
      </w:r>
    </w:p>
    <w:p w:rsidR="00D41FC8" w:rsidRPr="0003553E" w:rsidRDefault="00D41FC8" w:rsidP="00D41FC8">
      <w:pPr>
        <w:spacing w:before="100" w:beforeAutospacing="1" w:after="100" w:afterAutospacing="1"/>
        <w:ind w:left="851" w:hanging="851"/>
        <w:rPr>
          <w:rFonts w:ascii="Arial" w:hAnsi="Arial" w:cs="Arial"/>
          <w:b/>
          <w:noProof/>
          <w:lang w:val="af-ZA"/>
        </w:rPr>
      </w:pPr>
      <w:r w:rsidRPr="0003553E">
        <w:rPr>
          <w:rFonts w:ascii="Arial" w:hAnsi="Arial" w:cs="Arial"/>
          <w:b/>
          <w:noProof/>
          <w:lang w:val="af-ZA"/>
        </w:rPr>
        <w:t>2911.</w:t>
      </w:r>
      <w:r w:rsidRPr="0003553E">
        <w:rPr>
          <w:rFonts w:ascii="Arial" w:hAnsi="Arial" w:cs="Arial"/>
          <w:b/>
          <w:noProof/>
          <w:lang w:val="af-ZA"/>
        </w:rPr>
        <w:tab/>
        <w:t>Mr N L S Kwankwa (UDM) to ask the Minister of Finance:</w:t>
      </w:r>
    </w:p>
    <w:p w:rsidR="0003553E" w:rsidRDefault="00D41FC8" w:rsidP="00D41FC8">
      <w:pPr>
        <w:spacing w:before="100" w:beforeAutospacing="1" w:after="100" w:afterAutospacing="1"/>
        <w:ind w:left="851"/>
        <w:jc w:val="both"/>
        <w:rPr>
          <w:rFonts w:ascii="Arial" w:hAnsi="Arial" w:cs="Arial"/>
          <w:noProof/>
          <w:lang w:val="af-ZA"/>
        </w:rPr>
      </w:pPr>
      <w:r w:rsidRPr="00D41FC8">
        <w:rPr>
          <w:rFonts w:ascii="Arial" w:eastAsia="Calibri" w:hAnsi="Arial" w:cs="Arial"/>
        </w:rPr>
        <w:t xml:space="preserve">Whether, pursuant to his statement that any recommendation about the possibility of extending or broadening the mandate of the SA Reserve Bank (SARB) should be brought to his attention in line with his mandate as the Minister of Finance and in light of the need to ensure </w:t>
      </w:r>
      <w:r w:rsidRPr="00D41FC8">
        <w:rPr>
          <w:rFonts w:ascii="Arial" w:hAnsi="Arial" w:cs="Arial"/>
        </w:rPr>
        <w:t>better</w:t>
      </w:r>
      <w:r w:rsidRPr="00D41FC8">
        <w:rPr>
          <w:rFonts w:ascii="Arial" w:eastAsia="Calibri" w:hAnsi="Arial" w:cs="Arial"/>
        </w:rPr>
        <w:t xml:space="preserve"> alignment of monetary and fiscal policy in the country as a strategy to unlock job-creating growth, the Government has considered the (a) need to broaden the </w:t>
      </w:r>
      <w:r w:rsidRPr="00D41FC8">
        <w:rPr>
          <w:rFonts w:ascii="Arial" w:hAnsi="Arial" w:cs="Arial"/>
          <w:noProof/>
          <w:lang w:val="af-ZA"/>
        </w:rPr>
        <w:t>mandate</w:t>
      </w:r>
      <w:r w:rsidRPr="00D41FC8">
        <w:rPr>
          <w:rFonts w:ascii="Arial" w:eastAsia="Calibri" w:hAnsi="Arial" w:cs="Arial"/>
        </w:rPr>
        <w:t xml:space="preserve"> of the SARB to ensure that it also has a socio-economic development objective and (b) possibility of introducing a 1 percentage point tolerance interval over and above the upper band of the 3-6% inflation target in order to mitigate against central bank overreaction in times of sluggish growth or when the economy is in recession</w:t>
      </w:r>
      <w:r w:rsidRPr="00D41FC8">
        <w:rPr>
          <w:rFonts w:ascii="Arial" w:hAnsi="Arial" w:cs="Arial"/>
          <w:noProof/>
          <w:lang w:val="af-ZA"/>
        </w:rPr>
        <w:t>?</w:t>
      </w:r>
      <w:r w:rsidRPr="00D41FC8">
        <w:rPr>
          <w:rFonts w:ascii="Arial" w:hAnsi="Arial" w:cs="Arial"/>
          <w:noProof/>
          <w:lang w:val="af-ZA"/>
        </w:rPr>
        <w:tab/>
      </w:r>
      <w:r w:rsidRPr="00D41FC8">
        <w:rPr>
          <w:rFonts w:ascii="Arial" w:hAnsi="Arial" w:cs="Arial"/>
          <w:noProof/>
          <w:lang w:val="af-ZA"/>
        </w:rPr>
        <w:tab/>
      </w:r>
      <w:r w:rsidRPr="00D41FC8">
        <w:rPr>
          <w:rFonts w:ascii="Arial" w:hAnsi="Arial" w:cs="Arial"/>
          <w:noProof/>
          <w:lang w:val="af-ZA"/>
        </w:rPr>
        <w:tab/>
      </w:r>
      <w:r w:rsidRPr="00D41FC8">
        <w:rPr>
          <w:rFonts w:ascii="Arial" w:hAnsi="Arial" w:cs="Arial"/>
          <w:noProof/>
          <w:lang w:val="af-ZA"/>
        </w:rPr>
        <w:tab/>
      </w:r>
      <w:r w:rsidRPr="00D41FC8">
        <w:rPr>
          <w:rFonts w:ascii="Arial" w:hAnsi="Arial" w:cs="Arial"/>
          <w:noProof/>
          <w:lang w:val="af-ZA"/>
        </w:rPr>
        <w:tab/>
      </w:r>
      <w:r w:rsidRPr="00D41FC8">
        <w:rPr>
          <w:rFonts w:ascii="Arial" w:hAnsi="Arial" w:cs="Arial"/>
          <w:noProof/>
          <w:lang w:val="af-ZA"/>
        </w:rPr>
        <w:tab/>
      </w:r>
    </w:p>
    <w:p w:rsidR="00D41FC8" w:rsidRPr="0003553E" w:rsidRDefault="00D41FC8" w:rsidP="0003553E">
      <w:pPr>
        <w:spacing w:before="100" w:beforeAutospacing="1" w:after="100" w:afterAutospacing="1"/>
        <w:ind w:left="851"/>
        <w:jc w:val="right"/>
        <w:rPr>
          <w:rFonts w:ascii="Arial" w:eastAsia="Calibri" w:hAnsi="Arial" w:cs="Arial"/>
          <w:sz w:val="22"/>
          <w:szCs w:val="22"/>
        </w:rPr>
      </w:pPr>
      <w:r w:rsidRPr="0003553E">
        <w:rPr>
          <w:rFonts w:ascii="Arial" w:hAnsi="Arial" w:cs="Arial"/>
          <w:noProof/>
          <w:sz w:val="22"/>
          <w:szCs w:val="22"/>
          <w:lang w:val="af-ZA"/>
        </w:rPr>
        <w:tab/>
        <w:t>NW3225E</w:t>
      </w:r>
    </w:p>
    <w:p w:rsidR="00932D09" w:rsidRPr="007C366D" w:rsidRDefault="00932D09" w:rsidP="00642A1D">
      <w:pPr>
        <w:tabs>
          <w:tab w:val="left" w:pos="432"/>
          <w:tab w:val="left" w:pos="864"/>
        </w:tabs>
        <w:spacing w:line="276" w:lineRule="auto"/>
        <w:rPr>
          <w:rFonts w:ascii="Arial" w:hAnsi="Arial" w:cs="Arial"/>
          <w:b/>
          <w:lang w:val="en-US"/>
        </w:rPr>
      </w:pPr>
    </w:p>
    <w:p w:rsidR="0003553E" w:rsidRDefault="00642A1D" w:rsidP="0003553E">
      <w:pPr>
        <w:tabs>
          <w:tab w:val="left" w:pos="432"/>
          <w:tab w:val="left" w:pos="864"/>
        </w:tabs>
        <w:spacing w:line="276" w:lineRule="auto"/>
        <w:rPr>
          <w:rFonts w:ascii="Arial" w:hAnsi="Arial" w:cs="Arial"/>
          <w:b/>
          <w:sz w:val="22"/>
          <w:szCs w:val="22"/>
          <w:lang w:val="en-US"/>
        </w:rPr>
      </w:pPr>
      <w:r w:rsidRPr="004054C3">
        <w:rPr>
          <w:rFonts w:ascii="Arial" w:hAnsi="Arial" w:cs="Arial"/>
          <w:b/>
          <w:sz w:val="22"/>
          <w:szCs w:val="22"/>
          <w:lang w:val="en-US"/>
        </w:rPr>
        <w:t>REPLY:</w:t>
      </w:r>
    </w:p>
    <w:p w:rsidR="0003553E" w:rsidRDefault="0003553E" w:rsidP="0003553E">
      <w:pPr>
        <w:tabs>
          <w:tab w:val="left" w:pos="432"/>
          <w:tab w:val="left" w:pos="864"/>
        </w:tabs>
        <w:spacing w:line="276" w:lineRule="auto"/>
        <w:rPr>
          <w:rFonts w:ascii="Arial" w:hAnsi="Arial" w:cs="Arial"/>
          <w:b/>
          <w:sz w:val="22"/>
          <w:szCs w:val="22"/>
          <w:lang w:val="en-US"/>
        </w:rPr>
      </w:pPr>
    </w:p>
    <w:p w:rsidR="00183CDF" w:rsidRPr="0003553E" w:rsidRDefault="00183CDF" w:rsidP="0003553E">
      <w:pPr>
        <w:pStyle w:val="ListParagraph"/>
        <w:numPr>
          <w:ilvl w:val="0"/>
          <w:numId w:val="25"/>
        </w:numPr>
        <w:tabs>
          <w:tab w:val="left" w:pos="432"/>
          <w:tab w:val="left" w:pos="864"/>
        </w:tabs>
        <w:spacing w:line="276" w:lineRule="auto"/>
        <w:rPr>
          <w:rFonts w:ascii="Arial" w:hAnsi="Arial" w:cs="Arial"/>
          <w:b/>
          <w:sz w:val="22"/>
          <w:szCs w:val="22"/>
          <w:lang w:val="en-US"/>
        </w:rPr>
      </w:pPr>
      <w:r w:rsidRPr="0003553E">
        <w:rPr>
          <w:rFonts w:ascii="Arial" w:eastAsia="Calibri" w:hAnsi="Arial" w:cs="Arial"/>
          <w:lang w:val="en-ZA"/>
        </w:rPr>
        <w:t xml:space="preserve">No, there is no need to review the Constitution on the mandate of the SARB. </w:t>
      </w:r>
    </w:p>
    <w:p w:rsidR="00183CDF" w:rsidRPr="00593351" w:rsidRDefault="00183CDF" w:rsidP="00593351">
      <w:pPr>
        <w:jc w:val="both"/>
        <w:rPr>
          <w:rFonts w:ascii="Arial" w:eastAsia="Calibri" w:hAnsi="Arial" w:cs="Arial"/>
          <w:lang w:val="en-ZA"/>
        </w:rPr>
      </w:pPr>
    </w:p>
    <w:p w:rsidR="00183CDF" w:rsidRPr="00593351" w:rsidRDefault="00183CDF" w:rsidP="0003553E">
      <w:pPr>
        <w:ind w:left="360"/>
        <w:jc w:val="both"/>
        <w:rPr>
          <w:rFonts w:ascii="Arial" w:eastAsia="Calibri" w:hAnsi="Arial" w:cs="Arial"/>
          <w:lang w:val="en-ZA"/>
        </w:rPr>
      </w:pPr>
      <w:r w:rsidRPr="00593351">
        <w:rPr>
          <w:rFonts w:ascii="Arial" w:eastAsia="Calibri" w:hAnsi="Arial" w:cs="Arial"/>
          <w:lang w:val="en-ZA"/>
        </w:rPr>
        <w:t>Sections 223-225 of the Constitution outline the primary object of the SARB, which is “to protect the value of the currency in the interest of balanced and sustainable economic growth in the Republic".</w:t>
      </w:r>
      <w:r w:rsidR="00593351">
        <w:rPr>
          <w:rFonts w:ascii="Arial" w:eastAsia="Calibri" w:hAnsi="Arial" w:cs="Arial"/>
          <w:lang w:val="en-ZA"/>
        </w:rPr>
        <w:t xml:space="preserve"> </w:t>
      </w:r>
      <w:r w:rsidR="002028E2">
        <w:rPr>
          <w:rFonts w:ascii="Arial" w:eastAsia="Calibri" w:hAnsi="Arial" w:cs="Arial"/>
          <w:lang w:val="en-ZA"/>
        </w:rPr>
        <w:t>Section 224 (2</w:t>
      </w:r>
      <w:r w:rsidR="00DF6089">
        <w:rPr>
          <w:rFonts w:ascii="Arial" w:eastAsia="Calibri" w:hAnsi="Arial" w:cs="Arial"/>
          <w:lang w:val="en-ZA"/>
        </w:rPr>
        <w:t xml:space="preserve">) </w:t>
      </w:r>
      <w:r w:rsidR="00593351">
        <w:rPr>
          <w:rFonts w:ascii="Arial" w:eastAsia="Calibri" w:hAnsi="Arial" w:cs="Arial"/>
          <w:lang w:val="en-ZA"/>
        </w:rPr>
        <w:t xml:space="preserve">requires regular consultation between the Bank and the </w:t>
      </w:r>
      <w:r w:rsidR="00DF6089">
        <w:rPr>
          <w:rFonts w:ascii="Arial" w:eastAsia="Calibri" w:hAnsi="Arial" w:cs="Arial"/>
          <w:lang w:val="en-ZA"/>
        </w:rPr>
        <w:t>Minister of Finance</w:t>
      </w:r>
      <w:r w:rsidR="00593351">
        <w:rPr>
          <w:rFonts w:ascii="Arial" w:eastAsia="Calibri" w:hAnsi="Arial" w:cs="Arial"/>
          <w:lang w:val="en-ZA"/>
        </w:rPr>
        <w:t>.</w:t>
      </w:r>
    </w:p>
    <w:p w:rsidR="00183CDF" w:rsidRPr="00593351" w:rsidRDefault="00183CDF" w:rsidP="00593351">
      <w:pPr>
        <w:ind w:left="851"/>
        <w:jc w:val="both"/>
        <w:rPr>
          <w:rFonts w:ascii="Arial" w:eastAsia="Calibri" w:hAnsi="Arial" w:cs="Arial"/>
          <w:lang w:val="en-ZA"/>
        </w:rPr>
      </w:pPr>
    </w:p>
    <w:p w:rsidR="00183CDF" w:rsidRPr="00593351" w:rsidRDefault="00183CDF" w:rsidP="0003553E">
      <w:pPr>
        <w:ind w:left="360"/>
        <w:jc w:val="both"/>
        <w:rPr>
          <w:rFonts w:ascii="Arial" w:eastAsia="Calibri" w:hAnsi="Arial" w:cs="Arial"/>
          <w:lang w:val="en-ZA"/>
        </w:rPr>
      </w:pPr>
      <w:r w:rsidRPr="00593351">
        <w:rPr>
          <w:rFonts w:ascii="Arial" w:eastAsia="Calibri" w:hAnsi="Arial" w:cs="Arial"/>
          <w:lang w:val="en-ZA"/>
        </w:rPr>
        <w:t xml:space="preserve">The current Constitution and legislation governing the SARB is therefore very broad, and does not constrain Government from adopting (and legislating) appropriate policies to facilitate inclusive growth and job-creation, achieve the objectives of the NDP, and reduce inequality and deliver basic services to all those residing in SA. </w:t>
      </w:r>
    </w:p>
    <w:p w:rsidR="00183CDF" w:rsidRPr="00593351" w:rsidRDefault="00183CDF" w:rsidP="00593351">
      <w:pPr>
        <w:ind w:left="851"/>
        <w:jc w:val="both"/>
        <w:rPr>
          <w:rFonts w:ascii="Arial" w:eastAsia="Calibri" w:hAnsi="Arial" w:cs="Arial"/>
          <w:lang w:val="en-ZA"/>
        </w:rPr>
      </w:pPr>
    </w:p>
    <w:p w:rsidR="00183CDF" w:rsidRPr="00593351" w:rsidRDefault="00183CDF" w:rsidP="0003553E">
      <w:pPr>
        <w:ind w:left="360"/>
        <w:jc w:val="both"/>
        <w:rPr>
          <w:rFonts w:ascii="Arial" w:eastAsia="Calibri" w:hAnsi="Arial" w:cs="Arial"/>
          <w:lang w:val="en-ZA"/>
        </w:rPr>
      </w:pPr>
      <w:r w:rsidRPr="00593351">
        <w:rPr>
          <w:rFonts w:ascii="Arial" w:eastAsia="Calibri" w:hAnsi="Arial" w:cs="Arial"/>
          <w:lang w:val="en-ZA"/>
        </w:rPr>
        <w:t xml:space="preserve">Whilst </w:t>
      </w:r>
      <w:r w:rsidR="00DF6089">
        <w:rPr>
          <w:rFonts w:ascii="Arial" w:eastAsia="Calibri" w:hAnsi="Arial" w:cs="Arial"/>
          <w:lang w:val="en-ZA"/>
        </w:rPr>
        <w:t>the d</w:t>
      </w:r>
      <w:r w:rsidRPr="00593351">
        <w:rPr>
          <w:rFonts w:ascii="Arial" w:eastAsia="Calibri" w:hAnsi="Arial" w:cs="Arial"/>
          <w:lang w:val="en-ZA"/>
        </w:rPr>
        <w:t>ebate</w:t>
      </w:r>
      <w:r w:rsidR="00593351">
        <w:rPr>
          <w:rFonts w:ascii="Arial" w:eastAsia="Calibri" w:hAnsi="Arial" w:cs="Arial"/>
          <w:lang w:val="en-ZA"/>
        </w:rPr>
        <w:t xml:space="preserve"> on the role of the central bank is </w:t>
      </w:r>
      <w:r w:rsidR="00DF6089">
        <w:rPr>
          <w:rFonts w:ascii="Arial" w:eastAsia="Calibri" w:hAnsi="Arial" w:cs="Arial"/>
          <w:lang w:val="en-ZA"/>
        </w:rPr>
        <w:t>vibrant</w:t>
      </w:r>
      <w:r w:rsidRPr="00593351">
        <w:rPr>
          <w:rFonts w:ascii="Arial" w:eastAsia="Calibri" w:hAnsi="Arial" w:cs="Arial"/>
          <w:lang w:val="en-ZA"/>
        </w:rPr>
        <w:t xml:space="preserve">, both in South Africa and other countries, it is important that those calling for reviews provide the </w:t>
      </w:r>
      <w:r w:rsidRPr="00593351">
        <w:rPr>
          <w:rFonts w:ascii="Arial" w:eastAsia="Calibri" w:hAnsi="Arial" w:cs="Arial"/>
          <w:lang w:val="en-ZA"/>
        </w:rPr>
        <w:lastRenderedPageBreak/>
        <w:t>necessary research and motivation for proposing such review</w:t>
      </w:r>
      <w:r w:rsidR="00593351">
        <w:rPr>
          <w:rFonts w:ascii="Arial" w:eastAsia="Calibri" w:hAnsi="Arial" w:cs="Arial"/>
          <w:lang w:val="en-ZA"/>
        </w:rPr>
        <w:t>s</w:t>
      </w:r>
      <w:r w:rsidRPr="00593351">
        <w:rPr>
          <w:rFonts w:ascii="Arial" w:eastAsia="Calibri" w:hAnsi="Arial" w:cs="Arial"/>
          <w:lang w:val="en-ZA"/>
        </w:rPr>
        <w:t xml:space="preserve">, including their understanding of the role of both fiscal and monetary policy, and what specific problems they are seeking to solve. The SARB’s monetary policy mandate cannot be separated from Government’s fiscal policy mandate and performance. Any attempt to amend these constitutional provisions </w:t>
      </w:r>
      <w:r w:rsidR="00593351">
        <w:rPr>
          <w:rFonts w:ascii="Arial" w:eastAsia="Calibri" w:hAnsi="Arial" w:cs="Arial"/>
          <w:lang w:val="en-ZA"/>
        </w:rPr>
        <w:t xml:space="preserve">without due regard for this relationship </w:t>
      </w:r>
      <w:r w:rsidR="00593351" w:rsidRPr="00593351">
        <w:rPr>
          <w:rFonts w:ascii="Arial" w:eastAsia="Calibri" w:hAnsi="Arial" w:cs="Arial"/>
          <w:lang w:val="en-ZA"/>
        </w:rPr>
        <w:t xml:space="preserve">will </w:t>
      </w:r>
      <w:r w:rsidRPr="00593351">
        <w:rPr>
          <w:rFonts w:ascii="Arial" w:eastAsia="Calibri" w:hAnsi="Arial" w:cs="Arial"/>
          <w:lang w:val="en-ZA"/>
        </w:rPr>
        <w:t>generate unnecessary uncertainty, and impact negatively on growth and jobs.</w:t>
      </w:r>
    </w:p>
    <w:p w:rsidR="0003553E" w:rsidRDefault="0003553E" w:rsidP="0003553E">
      <w:pPr>
        <w:jc w:val="both"/>
        <w:rPr>
          <w:rFonts w:ascii="Arial" w:eastAsia="Calibri" w:hAnsi="Arial" w:cs="Arial"/>
          <w:lang w:val="en-ZA"/>
        </w:rPr>
      </w:pPr>
    </w:p>
    <w:p w:rsidR="00183CDF" w:rsidRDefault="00183CDF" w:rsidP="0003553E">
      <w:pPr>
        <w:pStyle w:val="ListParagraph"/>
        <w:numPr>
          <w:ilvl w:val="0"/>
          <w:numId w:val="25"/>
        </w:numPr>
        <w:tabs>
          <w:tab w:val="left" w:pos="432"/>
          <w:tab w:val="left" w:pos="864"/>
        </w:tabs>
        <w:spacing w:line="276" w:lineRule="auto"/>
        <w:rPr>
          <w:rFonts w:ascii="Arial" w:eastAsia="Calibri" w:hAnsi="Arial" w:cs="Arial"/>
          <w:lang w:val="en-ZA"/>
        </w:rPr>
      </w:pPr>
      <w:r w:rsidRPr="00593351">
        <w:rPr>
          <w:rFonts w:ascii="Arial" w:eastAsia="Calibri" w:hAnsi="Arial" w:cs="Arial"/>
          <w:lang w:val="en-ZA"/>
        </w:rPr>
        <w:t xml:space="preserve">The existing monetary policy framework, through flexible inflation targeting, allows for temporary deviations of inflation from the target in the event of shocks over which monetary policy has no </w:t>
      </w:r>
      <w:r w:rsidR="00593351">
        <w:rPr>
          <w:rFonts w:ascii="Arial" w:eastAsia="Calibri" w:hAnsi="Arial" w:cs="Arial"/>
          <w:lang w:val="en-ZA"/>
        </w:rPr>
        <w:t>impact</w:t>
      </w:r>
      <w:r w:rsidRPr="00593351">
        <w:rPr>
          <w:rFonts w:ascii="Arial" w:eastAsia="Calibri" w:hAnsi="Arial" w:cs="Arial"/>
          <w:lang w:val="en-ZA"/>
        </w:rPr>
        <w:t>. A specific tolerance level around the target would therefore not be necessary. An explicit tolerance indicator may potentially risk de-anchoring inflation expectations, and thereby constrain the SARB’s ability to respond flexibly to an inflation shock.</w:t>
      </w:r>
    </w:p>
    <w:p w:rsidR="0003553E" w:rsidRPr="00593351" w:rsidRDefault="0003553E" w:rsidP="0003553E">
      <w:pPr>
        <w:pStyle w:val="ListParagraph"/>
        <w:tabs>
          <w:tab w:val="left" w:pos="432"/>
          <w:tab w:val="left" w:pos="864"/>
        </w:tabs>
        <w:spacing w:line="276" w:lineRule="auto"/>
        <w:ind w:left="360"/>
        <w:rPr>
          <w:rFonts w:ascii="Arial" w:eastAsia="Calibri" w:hAnsi="Arial" w:cs="Arial"/>
          <w:lang w:val="en-ZA"/>
        </w:rPr>
      </w:pPr>
      <w:bookmarkStart w:id="0" w:name="_GoBack"/>
      <w:bookmarkEnd w:id="0"/>
    </w:p>
    <w:sectPr w:rsidR="0003553E" w:rsidRPr="00593351" w:rsidSect="00394DB7">
      <w:pgSz w:w="11909" w:h="16834" w:code="9"/>
      <w:pgMar w:top="1440"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F23"/>
    <w:multiLevelType w:val="hybridMultilevel"/>
    <w:tmpl w:val="F664DE7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2E7A33"/>
    <w:multiLevelType w:val="hybridMultilevel"/>
    <w:tmpl w:val="38A801F6"/>
    <w:lvl w:ilvl="0" w:tplc="A894C068">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4">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4A301B"/>
    <w:multiLevelType w:val="hybridMultilevel"/>
    <w:tmpl w:val="5360189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21"/>
  </w:num>
  <w:num w:numId="4">
    <w:abstractNumId w:val="17"/>
  </w:num>
  <w:num w:numId="5">
    <w:abstractNumId w:val="19"/>
  </w:num>
  <w:num w:numId="6">
    <w:abstractNumId w:val="8"/>
  </w:num>
  <w:num w:numId="7">
    <w:abstractNumId w:val="24"/>
  </w:num>
  <w:num w:numId="8">
    <w:abstractNumId w:val="3"/>
  </w:num>
  <w:num w:numId="9">
    <w:abstractNumId w:val="5"/>
  </w:num>
  <w:num w:numId="10">
    <w:abstractNumId w:val="2"/>
  </w:num>
  <w:num w:numId="11">
    <w:abstractNumId w:val="23"/>
  </w:num>
  <w:num w:numId="12">
    <w:abstractNumId w:val="22"/>
  </w:num>
  <w:num w:numId="13">
    <w:abstractNumId w:val="11"/>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7"/>
  </w:num>
  <w:num w:numId="23">
    <w:abstractNumId w:val="18"/>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3553E"/>
    <w:rsid w:val="00063BEC"/>
    <w:rsid w:val="000652CF"/>
    <w:rsid w:val="000742D8"/>
    <w:rsid w:val="000A0468"/>
    <w:rsid w:val="000B0B7B"/>
    <w:rsid w:val="000B4A91"/>
    <w:rsid w:val="000F066D"/>
    <w:rsid w:val="000F41A8"/>
    <w:rsid w:val="00104D29"/>
    <w:rsid w:val="001131D9"/>
    <w:rsid w:val="00120022"/>
    <w:rsid w:val="001433AE"/>
    <w:rsid w:val="00152E82"/>
    <w:rsid w:val="00166953"/>
    <w:rsid w:val="00175842"/>
    <w:rsid w:val="001837AD"/>
    <w:rsid w:val="00183CDF"/>
    <w:rsid w:val="001C068D"/>
    <w:rsid w:val="001C081F"/>
    <w:rsid w:val="001C51A3"/>
    <w:rsid w:val="001D448E"/>
    <w:rsid w:val="001E6902"/>
    <w:rsid w:val="001F1163"/>
    <w:rsid w:val="001F223B"/>
    <w:rsid w:val="002028E2"/>
    <w:rsid w:val="0021081B"/>
    <w:rsid w:val="00216C1E"/>
    <w:rsid w:val="00225B71"/>
    <w:rsid w:val="00232604"/>
    <w:rsid w:val="00247658"/>
    <w:rsid w:val="00252C87"/>
    <w:rsid w:val="002549F9"/>
    <w:rsid w:val="00257D88"/>
    <w:rsid w:val="002722CF"/>
    <w:rsid w:val="002A735F"/>
    <w:rsid w:val="002C28EE"/>
    <w:rsid w:val="002F5E69"/>
    <w:rsid w:val="002F6556"/>
    <w:rsid w:val="00303310"/>
    <w:rsid w:val="00310C5A"/>
    <w:rsid w:val="00323CC8"/>
    <w:rsid w:val="00326127"/>
    <w:rsid w:val="00366412"/>
    <w:rsid w:val="00394DB7"/>
    <w:rsid w:val="003B5D8E"/>
    <w:rsid w:val="003D36F1"/>
    <w:rsid w:val="003F0AC4"/>
    <w:rsid w:val="00421962"/>
    <w:rsid w:val="00433463"/>
    <w:rsid w:val="0048061D"/>
    <w:rsid w:val="004836B9"/>
    <w:rsid w:val="00487065"/>
    <w:rsid w:val="004A3B9E"/>
    <w:rsid w:val="004A5ED5"/>
    <w:rsid w:val="004A7C34"/>
    <w:rsid w:val="004B4052"/>
    <w:rsid w:val="004C5679"/>
    <w:rsid w:val="004C7422"/>
    <w:rsid w:val="00501C0E"/>
    <w:rsid w:val="005141B3"/>
    <w:rsid w:val="00524983"/>
    <w:rsid w:val="00530F50"/>
    <w:rsid w:val="0054111D"/>
    <w:rsid w:val="00593351"/>
    <w:rsid w:val="005A30FB"/>
    <w:rsid w:val="005D1EBB"/>
    <w:rsid w:val="005E2563"/>
    <w:rsid w:val="00603762"/>
    <w:rsid w:val="0061287D"/>
    <w:rsid w:val="00613FC6"/>
    <w:rsid w:val="00636878"/>
    <w:rsid w:val="00642A1D"/>
    <w:rsid w:val="00684AAB"/>
    <w:rsid w:val="00695A9A"/>
    <w:rsid w:val="006B1504"/>
    <w:rsid w:val="006B1CDA"/>
    <w:rsid w:val="006B5828"/>
    <w:rsid w:val="006D62CD"/>
    <w:rsid w:val="00702034"/>
    <w:rsid w:val="007027A6"/>
    <w:rsid w:val="00716D12"/>
    <w:rsid w:val="00736CFE"/>
    <w:rsid w:val="0076584C"/>
    <w:rsid w:val="00777C5C"/>
    <w:rsid w:val="0079063F"/>
    <w:rsid w:val="007B66A0"/>
    <w:rsid w:val="007C366D"/>
    <w:rsid w:val="00807F57"/>
    <w:rsid w:val="00810D64"/>
    <w:rsid w:val="00811821"/>
    <w:rsid w:val="00814F3C"/>
    <w:rsid w:val="00823EA9"/>
    <w:rsid w:val="0087366B"/>
    <w:rsid w:val="0087557B"/>
    <w:rsid w:val="00890CC6"/>
    <w:rsid w:val="00892134"/>
    <w:rsid w:val="008B5B10"/>
    <w:rsid w:val="008D26AB"/>
    <w:rsid w:val="008D419D"/>
    <w:rsid w:val="0091205F"/>
    <w:rsid w:val="00932D09"/>
    <w:rsid w:val="00956BFC"/>
    <w:rsid w:val="00957F87"/>
    <w:rsid w:val="0096291A"/>
    <w:rsid w:val="00980174"/>
    <w:rsid w:val="00986913"/>
    <w:rsid w:val="009A18A7"/>
    <w:rsid w:val="009D33D8"/>
    <w:rsid w:val="009D71C6"/>
    <w:rsid w:val="00A139DE"/>
    <w:rsid w:val="00A32409"/>
    <w:rsid w:val="00A42134"/>
    <w:rsid w:val="00A46203"/>
    <w:rsid w:val="00A52D24"/>
    <w:rsid w:val="00A61AD6"/>
    <w:rsid w:val="00A6413D"/>
    <w:rsid w:val="00A65EA0"/>
    <w:rsid w:val="00A72104"/>
    <w:rsid w:val="00A7786E"/>
    <w:rsid w:val="00A86AE1"/>
    <w:rsid w:val="00A959A6"/>
    <w:rsid w:val="00AA1288"/>
    <w:rsid w:val="00AA17BB"/>
    <w:rsid w:val="00AA5C67"/>
    <w:rsid w:val="00AB19DE"/>
    <w:rsid w:val="00AB4FAB"/>
    <w:rsid w:val="00AC2DCC"/>
    <w:rsid w:val="00AD0537"/>
    <w:rsid w:val="00AF50AE"/>
    <w:rsid w:val="00B20992"/>
    <w:rsid w:val="00B21ADC"/>
    <w:rsid w:val="00B409C6"/>
    <w:rsid w:val="00B44047"/>
    <w:rsid w:val="00B461CC"/>
    <w:rsid w:val="00B75338"/>
    <w:rsid w:val="00B872CF"/>
    <w:rsid w:val="00B940DF"/>
    <w:rsid w:val="00BA1416"/>
    <w:rsid w:val="00BB1CB3"/>
    <w:rsid w:val="00BC3017"/>
    <w:rsid w:val="00BD1A07"/>
    <w:rsid w:val="00BE0961"/>
    <w:rsid w:val="00BE6FC8"/>
    <w:rsid w:val="00BF6291"/>
    <w:rsid w:val="00C02CE0"/>
    <w:rsid w:val="00C15C16"/>
    <w:rsid w:val="00C330AD"/>
    <w:rsid w:val="00C44C35"/>
    <w:rsid w:val="00C540F1"/>
    <w:rsid w:val="00CA5084"/>
    <w:rsid w:val="00CA56BB"/>
    <w:rsid w:val="00CB3CED"/>
    <w:rsid w:val="00CD717F"/>
    <w:rsid w:val="00D0120D"/>
    <w:rsid w:val="00D132B3"/>
    <w:rsid w:val="00D252CF"/>
    <w:rsid w:val="00D26B3A"/>
    <w:rsid w:val="00D32984"/>
    <w:rsid w:val="00D41FC8"/>
    <w:rsid w:val="00D71DE6"/>
    <w:rsid w:val="00D747FF"/>
    <w:rsid w:val="00D96460"/>
    <w:rsid w:val="00DA038A"/>
    <w:rsid w:val="00DA2D92"/>
    <w:rsid w:val="00DB6B3C"/>
    <w:rsid w:val="00DF6089"/>
    <w:rsid w:val="00E21152"/>
    <w:rsid w:val="00E26C88"/>
    <w:rsid w:val="00E27EE0"/>
    <w:rsid w:val="00E32136"/>
    <w:rsid w:val="00E44AF7"/>
    <w:rsid w:val="00E451F2"/>
    <w:rsid w:val="00E457A1"/>
    <w:rsid w:val="00E6523B"/>
    <w:rsid w:val="00E710E6"/>
    <w:rsid w:val="00E72933"/>
    <w:rsid w:val="00E77DF6"/>
    <w:rsid w:val="00E84B1C"/>
    <w:rsid w:val="00EA5314"/>
    <w:rsid w:val="00EA6440"/>
    <w:rsid w:val="00EB0EA7"/>
    <w:rsid w:val="00ED4459"/>
    <w:rsid w:val="00ED5918"/>
    <w:rsid w:val="00ED6014"/>
    <w:rsid w:val="00EE38AD"/>
    <w:rsid w:val="00F1697A"/>
    <w:rsid w:val="00F17E0A"/>
    <w:rsid w:val="00F24B8C"/>
    <w:rsid w:val="00F24EF0"/>
    <w:rsid w:val="00F44D10"/>
    <w:rsid w:val="00F71DB2"/>
    <w:rsid w:val="00FA66F6"/>
    <w:rsid w:val="00FC2B87"/>
    <w:rsid w:val="00FC6990"/>
    <w:rsid w:val="00FF5FA8"/>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FF5FA8"/>
    <w:rPr>
      <w:sz w:val="16"/>
      <w:szCs w:val="16"/>
    </w:rPr>
  </w:style>
  <w:style w:type="paragraph" w:styleId="CommentText">
    <w:name w:val="annotation text"/>
    <w:basedOn w:val="Normal"/>
    <w:link w:val="CommentTextChar"/>
    <w:semiHidden/>
    <w:unhideWhenUsed/>
    <w:rsid w:val="00FF5FA8"/>
    <w:rPr>
      <w:sz w:val="20"/>
      <w:szCs w:val="20"/>
    </w:rPr>
  </w:style>
  <w:style w:type="character" w:customStyle="1" w:styleId="CommentTextChar">
    <w:name w:val="Comment Text Char"/>
    <w:basedOn w:val="DefaultParagraphFont"/>
    <w:link w:val="CommentText"/>
    <w:semiHidden/>
    <w:rsid w:val="00FF5FA8"/>
    <w:rPr>
      <w:lang w:val="en-GB" w:eastAsia="en-US"/>
    </w:rPr>
  </w:style>
  <w:style w:type="paragraph" w:styleId="CommentSubject">
    <w:name w:val="annotation subject"/>
    <w:basedOn w:val="CommentText"/>
    <w:next w:val="CommentText"/>
    <w:link w:val="CommentSubjectChar"/>
    <w:semiHidden/>
    <w:unhideWhenUsed/>
    <w:rsid w:val="00FF5FA8"/>
    <w:rPr>
      <w:b/>
      <w:bCs/>
    </w:rPr>
  </w:style>
  <w:style w:type="character" w:customStyle="1" w:styleId="CommentSubjectChar">
    <w:name w:val="Comment Subject Char"/>
    <w:basedOn w:val="CommentTextChar"/>
    <w:link w:val="CommentSubject"/>
    <w:semiHidden/>
    <w:rsid w:val="00FF5FA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FF5FA8"/>
    <w:rPr>
      <w:sz w:val="16"/>
      <w:szCs w:val="16"/>
    </w:rPr>
  </w:style>
  <w:style w:type="paragraph" w:styleId="CommentText">
    <w:name w:val="annotation text"/>
    <w:basedOn w:val="Normal"/>
    <w:link w:val="CommentTextChar"/>
    <w:semiHidden/>
    <w:unhideWhenUsed/>
    <w:rsid w:val="00FF5FA8"/>
    <w:rPr>
      <w:sz w:val="20"/>
      <w:szCs w:val="20"/>
    </w:rPr>
  </w:style>
  <w:style w:type="character" w:customStyle="1" w:styleId="CommentTextChar">
    <w:name w:val="Comment Text Char"/>
    <w:basedOn w:val="DefaultParagraphFont"/>
    <w:link w:val="CommentText"/>
    <w:semiHidden/>
    <w:rsid w:val="00FF5FA8"/>
    <w:rPr>
      <w:lang w:val="en-GB" w:eastAsia="en-US"/>
    </w:rPr>
  </w:style>
  <w:style w:type="paragraph" w:styleId="CommentSubject">
    <w:name w:val="annotation subject"/>
    <w:basedOn w:val="CommentText"/>
    <w:next w:val="CommentText"/>
    <w:link w:val="CommentSubjectChar"/>
    <w:semiHidden/>
    <w:unhideWhenUsed/>
    <w:rsid w:val="00FF5FA8"/>
    <w:rPr>
      <w:b/>
      <w:bCs/>
    </w:rPr>
  </w:style>
  <w:style w:type="character" w:customStyle="1" w:styleId="CommentSubjectChar">
    <w:name w:val="Comment Subject Char"/>
    <w:basedOn w:val="CommentTextChar"/>
    <w:link w:val="CommentSubject"/>
    <w:semiHidden/>
    <w:rsid w:val="00FF5FA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414590475">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624379706">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2142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A772-CDBA-4874-B289-FDB79FE4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2017-11-17T09:38:00Z</cp:lastPrinted>
  <dcterms:created xsi:type="dcterms:W3CDTF">2017-11-24T15:44:00Z</dcterms:created>
  <dcterms:modified xsi:type="dcterms:W3CDTF">2017-11-24T15:44:00Z</dcterms:modified>
</cp:coreProperties>
</file>