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bookmarkStart w:id="0" w:name="_GoBack"/>
      <w:bookmarkEnd w:id="0"/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5E4145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C629AB">
        <w:rPr>
          <w:rFonts w:ascii="Arial" w:hAnsi="Arial" w:cs="Arial"/>
          <w:b/>
          <w:sz w:val="22"/>
          <w:szCs w:val="22"/>
          <w:u w:val="single"/>
        </w:rPr>
        <w:t>2</w:t>
      </w:r>
      <w:r w:rsidR="009E2324">
        <w:rPr>
          <w:rFonts w:ascii="Arial" w:hAnsi="Arial" w:cs="Arial"/>
          <w:b/>
          <w:sz w:val="22"/>
          <w:szCs w:val="22"/>
          <w:u w:val="single"/>
        </w:rPr>
        <w:t>90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53F99">
        <w:rPr>
          <w:rFonts w:ascii="Arial" w:hAnsi="Arial" w:cs="Arial"/>
          <w:b/>
          <w:sz w:val="22"/>
          <w:szCs w:val="22"/>
          <w:u w:val="single"/>
        </w:rPr>
        <w:t>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3F99">
        <w:rPr>
          <w:rFonts w:ascii="Arial" w:hAnsi="Arial" w:cs="Arial"/>
          <w:b/>
          <w:sz w:val="22"/>
          <w:szCs w:val="22"/>
          <w:u w:val="single"/>
        </w:rPr>
        <w:t>17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7591">
        <w:rPr>
          <w:rFonts w:ascii="Arial" w:hAnsi="Arial" w:cs="Arial"/>
          <w:b/>
          <w:sz w:val="22"/>
          <w:szCs w:val="22"/>
          <w:u w:val="single"/>
        </w:rPr>
        <w:t>FEBRUARY 2023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9E2324" w:rsidRPr="009E2324" w:rsidRDefault="009E2324" w:rsidP="009E232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9E2324">
        <w:rPr>
          <w:rFonts w:ascii="Arial" w:hAnsi="Arial" w:cs="Arial"/>
          <w:b/>
        </w:rPr>
        <w:t>290.</w:t>
      </w:r>
      <w:r w:rsidRPr="009E2324">
        <w:rPr>
          <w:rFonts w:ascii="Arial" w:hAnsi="Arial" w:cs="Arial"/>
          <w:b/>
        </w:rPr>
        <w:tab/>
        <w:t>Ms S A Buthelezi</w:t>
      </w:r>
      <w:r w:rsidRPr="009E2324">
        <w:rPr>
          <w:rFonts w:ascii="Arial" w:eastAsia="Calibri" w:hAnsi="Arial" w:cs="Arial"/>
          <w:b/>
          <w:bCs/>
          <w:lang w:val="en-GB"/>
        </w:rPr>
        <w:t xml:space="preserve"> </w:t>
      </w:r>
      <w:r w:rsidRPr="009E2324">
        <w:rPr>
          <w:rFonts w:ascii="Arial" w:hAnsi="Arial" w:cs="Arial"/>
          <w:b/>
        </w:rPr>
        <w:t>(IFP) to ask the Minister of Water and Sanitation</w:t>
      </w:r>
      <w:r w:rsidR="00044DE5" w:rsidRPr="009E2324">
        <w:rPr>
          <w:rFonts w:ascii="Arial" w:hAnsi="Arial" w:cs="Arial"/>
          <w:b/>
        </w:rPr>
        <w:fldChar w:fldCharType="begin"/>
      </w:r>
      <w:r w:rsidRPr="009E2324">
        <w:rPr>
          <w:rFonts w:ascii="Arial" w:hAnsi="Arial" w:cs="Arial"/>
        </w:rPr>
        <w:instrText xml:space="preserve"> XE "</w:instrText>
      </w:r>
      <w:r w:rsidRPr="009E2324">
        <w:rPr>
          <w:rFonts w:ascii="Arial" w:hAnsi="Arial" w:cs="Arial"/>
          <w:b/>
          <w:lang w:val="af-ZA"/>
        </w:rPr>
        <w:instrText>Minister of Water and Sanitation</w:instrText>
      </w:r>
      <w:r w:rsidRPr="009E2324">
        <w:rPr>
          <w:rFonts w:ascii="Arial" w:hAnsi="Arial" w:cs="Arial"/>
        </w:rPr>
        <w:instrText xml:space="preserve">" </w:instrText>
      </w:r>
      <w:r w:rsidR="00044DE5" w:rsidRPr="009E2324">
        <w:rPr>
          <w:rFonts w:ascii="Arial" w:hAnsi="Arial" w:cs="Arial"/>
          <w:b/>
        </w:rPr>
        <w:fldChar w:fldCharType="end"/>
      </w:r>
      <w:r w:rsidRPr="009E2324">
        <w:rPr>
          <w:rFonts w:ascii="Arial" w:hAnsi="Arial" w:cs="Arial"/>
          <w:b/>
        </w:rPr>
        <w:t>:</w:t>
      </w:r>
    </w:p>
    <w:p w:rsidR="00B31C62" w:rsidRDefault="009E2324" w:rsidP="00B31C62">
      <w:pPr>
        <w:pStyle w:val="BodyText"/>
        <w:spacing w:before="100" w:beforeAutospacing="1" w:after="100" w:afterAutospacing="1"/>
        <w:ind w:left="709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9E03DB">
        <w:rPr>
          <w:rFonts w:ascii="Arial" w:hAnsi="Arial" w:cs="Arial"/>
          <w:color w:val="000000"/>
          <w:sz w:val="22"/>
          <w:szCs w:val="22"/>
          <w:lang w:val="en-GB"/>
        </w:rPr>
        <w:t xml:space="preserve">With regard to the water boards and the role that they will be playing in the reconfiguration and/or enhancement of service delivery, what (a) does his department intend to do about the water boards’ own internal challenges of not being able to conduct planned maintenance and/or pay </w:t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>creditors</w:t>
      </w:r>
      <w:r w:rsidRPr="009E03DB">
        <w:rPr>
          <w:rFonts w:ascii="Arial" w:hAnsi="Arial" w:cs="Arial"/>
          <w:color w:val="000000"/>
          <w:sz w:val="22"/>
          <w:szCs w:val="22"/>
          <w:lang w:val="en-GB"/>
        </w:rPr>
        <w:t xml:space="preserve"> on time and (b) measures will his department put in </w:t>
      </w:r>
      <w:r w:rsidRPr="009E03DB">
        <w:rPr>
          <w:rFonts w:ascii="Arial" w:hAnsi="Arial" w:cs="Arial"/>
          <w:sz w:val="22"/>
          <w:szCs w:val="22"/>
        </w:rPr>
        <w:t>place</w:t>
      </w:r>
      <w:r w:rsidRPr="009E03DB">
        <w:rPr>
          <w:rFonts w:ascii="Arial" w:hAnsi="Arial" w:cs="Arial"/>
          <w:color w:val="000000"/>
          <w:sz w:val="22"/>
          <w:szCs w:val="22"/>
          <w:lang w:val="en-GB"/>
        </w:rPr>
        <w:t xml:space="preserve"> to ensure that planned maintenance still goes ahead and is not affected, considering the financial constraints of municipalities in paying for the provision of water</w:t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>?</w:t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9E03DB">
        <w:rPr>
          <w:rFonts w:ascii="Arial" w:eastAsia="Calibri" w:hAnsi="Arial" w:cs="Arial"/>
          <w:bCs/>
          <w:sz w:val="22"/>
          <w:szCs w:val="22"/>
          <w:lang w:val="en-GB"/>
        </w:rPr>
        <w:tab/>
      </w:r>
    </w:p>
    <w:p w:rsidR="009E2324" w:rsidRPr="00B31C62" w:rsidRDefault="009E2324" w:rsidP="00B31C62">
      <w:pPr>
        <w:pStyle w:val="BodyText"/>
        <w:spacing w:before="100" w:beforeAutospacing="1" w:after="100" w:afterAutospacing="1"/>
        <w:ind w:left="8640"/>
        <w:jc w:val="both"/>
        <w:rPr>
          <w:rFonts w:ascii="Arial" w:hAnsi="Arial" w:cs="Arial"/>
          <w:color w:val="000000"/>
          <w:lang w:val="en-GB"/>
        </w:rPr>
      </w:pPr>
      <w:r w:rsidRPr="00B31C62">
        <w:rPr>
          <w:rFonts w:ascii="Arial" w:hAnsi="Arial" w:cs="Arial"/>
        </w:rPr>
        <w:t>NW302E</w:t>
      </w:r>
    </w:p>
    <w:p w:rsidR="00115128" w:rsidRDefault="00404421" w:rsidP="00FE2133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FE2133" w:rsidRPr="009C322F" w:rsidRDefault="00FE2133" w:rsidP="00FE2133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FE2133" w:rsidRDefault="00FE2133" w:rsidP="00FE2133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5EB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FE2133" w:rsidRDefault="00FE2133" w:rsidP="00FE2133">
      <w:pPr>
        <w:tabs>
          <w:tab w:val="left" w:pos="540"/>
          <w:tab w:val="left" w:pos="709"/>
        </w:tabs>
        <w:ind w:left="141" w:hanging="141"/>
        <w:rPr>
          <w:rFonts w:ascii="Arial" w:hAnsi="Arial" w:cs="Arial"/>
          <w:b/>
          <w:sz w:val="22"/>
          <w:szCs w:val="22"/>
        </w:rPr>
      </w:pPr>
    </w:p>
    <w:p w:rsidR="00B31C62" w:rsidRPr="00B31C62" w:rsidRDefault="006B6D6B" w:rsidP="00045AAF">
      <w:pPr>
        <w:pStyle w:val="ListParagraph"/>
        <w:numPr>
          <w:ilvl w:val="0"/>
          <w:numId w:val="23"/>
        </w:numPr>
        <w:tabs>
          <w:tab w:val="left" w:pos="540"/>
          <w:tab w:val="left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To address governance</w:t>
      </w:r>
      <w:r w:rsidR="006B2E42">
        <w:rPr>
          <w:rFonts w:ascii="Arial" w:hAnsi="Arial" w:cs="Arial"/>
          <w:bCs/>
          <w:sz w:val="22"/>
          <w:szCs w:val="22"/>
          <w:lang w:val="en-GB"/>
        </w:rPr>
        <w:t xml:space="preserve"> challenges</w:t>
      </w:r>
      <w:r w:rsidR="005D1720" w:rsidRPr="00A53BA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among Water Boards and enhance the role that these entities will be playing to enhance service delivery at local government level</w:t>
      </w:r>
      <w:r w:rsidR="00B31C62">
        <w:rPr>
          <w:rFonts w:ascii="Arial" w:hAnsi="Arial" w:cs="Arial"/>
          <w:bCs/>
          <w:sz w:val="22"/>
          <w:szCs w:val="22"/>
          <w:lang w:val="en-GB"/>
        </w:rPr>
        <w:t>;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</w:t>
      </w:r>
      <w:r w:rsidR="00B31C62" w:rsidRPr="00B31C62">
        <w:rPr>
          <w:rFonts w:ascii="Arial" w:hAnsi="Arial" w:cs="Arial"/>
          <w:bCs/>
          <w:sz w:val="22"/>
          <w:szCs w:val="22"/>
          <w:lang w:val="en-GB"/>
        </w:rPr>
        <w:t xml:space="preserve">Department has reviewed the Water Boards in terms of </w:t>
      </w:r>
      <w:r w:rsidR="00B31C62" w:rsidRPr="00B31C62">
        <w:rPr>
          <w:rFonts w:ascii="Arial" w:hAnsi="Arial" w:cs="Arial"/>
          <w:bCs/>
          <w:sz w:val="22"/>
          <w:szCs w:val="22"/>
          <w:lang w:val="en-US"/>
        </w:rPr>
        <w:t xml:space="preserve">financial sustainability, </w:t>
      </w:r>
      <w:r w:rsidR="00B31C62">
        <w:rPr>
          <w:rFonts w:ascii="Arial" w:hAnsi="Arial" w:cs="Arial"/>
          <w:bCs/>
          <w:sz w:val="22"/>
          <w:szCs w:val="22"/>
          <w:lang w:val="en-US"/>
        </w:rPr>
        <w:t xml:space="preserve">governance matters and </w:t>
      </w:r>
      <w:r w:rsidR="00B31C62" w:rsidRPr="00B31C62">
        <w:rPr>
          <w:rFonts w:ascii="Arial" w:hAnsi="Arial" w:cs="Arial"/>
          <w:bCs/>
          <w:sz w:val="22"/>
          <w:szCs w:val="22"/>
          <w:lang w:val="en-US"/>
        </w:rPr>
        <w:t>extending services to areas that are not currently serviced.</w:t>
      </w:r>
      <w:r w:rsidR="00B31C62">
        <w:rPr>
          <w:rFonts w:ascii="Arial" w:hAnsi="Arial" w:cs="Arial"/>
          <w:bCs/>
          <w:sz w:val="22"/>
          <w:szCs w:val="22"/>
          <w:lang w:val="en-US"/>
        </w:rPr>
        <w:t xml:space="preserve"> The review and reconfiguration of Water Boards is intended to achieve the following: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Better economies of scale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Enhance market capitalisation for infrastructure projects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Increase water access to un-serviced rural areas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Enable better cross-subsidisation and increased financial sustainability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Facilitate differential service delivery levels and tariff modelling across the province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Enable better working relationships with provincial governments - there has been a general effort to align water boards boundaries with provincial boundaries</w:t>
      </w:r>
    </w:p>
    <w:p w:rsidR="00B31C62" w:rsidRPr="00B31C62" w:rsidRDefault="00B31C62" w:rsidP="00045AAF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 xml:space="preserve">Enable Water Boards to better support Water Services Authorities (WSAs).  </w:t>
      </w:r>
    </w:p>
    <w:p w:rsidR="00B31C62" w:rsidRPr="00B31C62" w:rsidRDefault="00B31C62" w:rsidP="00045AAF">
      <w:pPr>
        <w:pStyle w:val="ListParagraph"/>
        <w:tabs>
          <w:tab w:val="left" w:pos="540"/>
          <w:tab w:val="left" w:pos="709"/>
        </w:tabs>
        <w:ind w:left="1560" w:hanging="284"/>
        <w:jc w:val="both"/>
        <w:rPr>
          <w:rFonts w:ascii="Arial" w:hAnsi="Arial" w:cs="Arial"/>
          <w:bCs/>
          <w:sz w:val="22"/>
          <w:szCs w:val="22"/>
        </w:rPr>
      </w:pPr>
    </w:p>
    <w:p w:rsidR="00E01100" w:rsidRPr="00B31C62" w:rsidRDefault="003E5EB2" w:rsidP="00CC485E">
      <w:pPr>
        <w:pStyle w:val="ListParagraph"/>
        <w:numPr>
          <w:ilvl w:val="0"/>
          <w:numId w:val="23"/>
        </w:numPr>
        <w:tabs>
          <w:tab w:val="left" w:pos="540"/>
          <w:tab w:val="left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31C62" w:rsidRPr="00B31C62">
        <w:rPr>
          <w:rFonts w:ascii="Arial" w:hAnsi="Arial" w:cs="Arial"/>
          <w:bCs/>
          <w:sz w:val="22"/>
          <w:szCs w:val="22"/>
          <w:lang w:val="en-GB"/>
        </w:rPr>
        <w:t xml:space="preserve">It should also be noted that non-payment of Water Boards by municipalities threatens financial viability of Water Boards. To address this, the Department of Water and Sanitation in collaboration with National Treasury </w:t>
      </w:r>
      <w:r w:rsidR="00B31C62" w:rsidRPr="00B31C62">
        <w:rPr>
          <w:rFonts w:ascii="Arial" w:hAnsi="Arial" w:cs="Arial"/>
          <w:bCs/>
          <w:sz w:val="22"/>
          <w:szCs w:val="22"/>
        </w:rPr>
        <w:t>has put in place the following measures to</w:t>
      </w:r>
      <w:r w:rsidR="00B31C62" w:rsidRPr="00B31C62">
        <w:rPr>
          <w:rFonts w:ascii="Arial" w:hAnsi="Arial" w:cs="Arial"/>
          <w:b/>
          <w:sz w:val="22"/>
          <w:szCs w:val="22"/>
        </w:rPr>
        <w:t xml:space="preserve"> </w:t>
      </w:r>
      <w:r w:rsidR="00B31C62" w:rsidRPr="00B31C62">
        <w:rPr>
          <w:rFonts w:ascii="Arial" w:hAnsi="Arial" w:cs="Arial"/>
          <w:sz w:val="22"/>
          <w:szCs w:val="22"/>
        </w:rPr>
        <w:t>strengthen billing and revenue collection and address the escalating debt of municipalities to water entities:</w:t>
      </w:r>
    </w:p>
    <w:p w:rsidR="00BC4EBC" w:rsidRPr="00B31C62" w:rsidRDefault="00BC4EBC" w:rsidP="00CC485E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The Department of Water and Sanitation (DWS) will collaborate with National Treasury to ensure that equitable share allocations are withheld from non-paying municipalities.</w:t>
      </w:r>
    </w:p>
    <w:p w:rsidR="00BC4EBC" w:rsidRPr="00B31C62" w:rsidRDefault="00BC4EBC" w:rsidP="00CC485E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DWS will ensure that standardised credit control and debt recovery processes is in place across all the water boards. This includes consistent enforcement of water limitations/restrictions on non-paying municipalities and legal processes to attach municipal bank accounts where necessary.</w:t>
      </w:r>
    </w:p>
    <w:p w:rsidR="00BC4EBC" w:rsidRPr="00B31C62" w:rsidRDefault="00BC4EBC" w:rsidP="00CC485E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Bulk prepaid meters will be installed by water boards in municipalities with a poor payment record.</w:t>
      </w:r>
    </w:p>
    <w:p w:rsidR="00E01100" w:rsidRPr="00B31C62" w:rsidRDefault="009C322F" w:rsidP="00CC485E">
      <w:pPr>
        <w:pStyle w:val="ListParagraph"/>
        <w:numPr>
          <w:ilvl w:val="0"/>
          <w:numId w:val="30"/>
        </w:numPr>
        <w:tabs>
          <w:tab w:val="left" w:pos="540"/>
          <w:tab w:val="left" w:pos="709"/>
        </w:tabs>
        <w:spacing w:before="60" w:after="60"/>
        <w:ind w:left="1560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31C62">
        <w:rPr>
          <w:rFonts w:ascii="Arial" w:hAnsi="Arial" w:cs="Arial"/>
          <w:bCs/>
          <w:sz w:val="22"/>
          <w:szCs w:val="22"/>
        </w:rPr>
        <w:t>The Minister is further consulting the 144 Water Services Authorities on the outcome of the above-mentioned workshop.</w:t>
      </w:r>
    </w:p>
    <w:p w:rsidR="00FD743F" w:rsidRDefault="00FD743F" w:rsidP="00B31C62">
      <w:pPr>
        <w:pStyle w:val="NoSpacing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43E84" w:rsidRDefault="00643E84" w:rsidP="00643E8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Pr="009D42F1" w:rsidRDefault="00361A62" w:rsidP="00293F7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B31C62">
      <w:footerReference w:type="default" r:id="rId8"/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CA" w:rsidRDefault="00C809CA" w:rsidP="00B425C7">
      <w:r>
        <w:separator/>
      </w:r>
    </w:p>
  </w:endnote>
  <w:endnote w:type="continuationSeparator" w:id="0">
    <w:p w:rsidR="00C809CA" w:rsidRDefault="00C809C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</w:t>
    </w:r>
    <w:r w:rsidR="00C629AB">
      <w:rPr>
        <w:rFonts w:ascii="Arial" w:hAnsi="Arial" w:cs="Arial"/>
        <w:sz w:val="16"/>
        <w:szCs w:val="16"/>
      </w:rPr>
      <w:t>2</w:t>
    </w:r>
    <w:r w:rsidR="00D76374">
      <w:rPr>
        <w:rFonts w:ascii="Arial" w:hAnsi="Arial" w:cs="Arial"/>
        <w:sz w:val="16"/>
        <w:szCs w:val="16"/>
      </w:rPr>
      <w:t>90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D76374">
      <w:rPr>
        <w:rFonts w:ascii="Arial" w:hAnsi="Arial" w:cs="Arial"/>
        <w:sz w:val="16"/>
        <w:szCs w:val="16"/>
      </w:rPr>
      <w:t>302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CA" w:rsidRDefault="00C809CA" w:rsidP="00B425C7">
      <w:r>
        <w:separator/>
      </w:r>
    </w:p>
  </w:footnote>
  <w:footnote w:type="continuationSeparator" w:id="0">
    <w:p w:rsidR="00C809CA" w:rsidRDefault="00C809C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D7917"/>
    <w:multiLevelType w:val="hybridMultilevel"/>
    <w:tmpl w:val="9698E316"/>
    <w:lvl w:ilvl="0" w:tplc="726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6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6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6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0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8F8"/>
    <w:multiLevelType w:val="hybridMultilevel"/>
    <w:tmpl w:val="13608EB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195"/>
    <w:multiLevelType w:val="hybridMultilevel"/>
    <w:tmpl w:val="CDF6CC6E"/>
    <w:lvl w:ilvl="0" w:tplc="3CC8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4E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2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63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974E2E"/>
    <w:multiLevelType w:val="hybridMultilevel"/>
    <w:tmpl w:val="FF529310"/>
    <w:lvl w:ilvl="0" w:tplc="5484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02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8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6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6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4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8615F9"/>
    <w:multiLevelType w:val="hybridMultilevel"/>
    <w:tmpl w:val="3C4A5A5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3682E"/>
    <w:multiLevelType w:val="hybridMultilevel"/>
    <w:tmpl w:val="8CBEDB9C"/>
    <w:lvl w:ilvl="0" w:tplc="8AFA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BE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A66C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1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D289E"/>
    <w:multiLevelType w:val="hybridMultilevel"/>
    <w:tmpl w:val="A63AAF7C"/>
    <w:lvl w:ilvl="0" w:tplc="AF8AC1F8">
      <w:start w:val="1"/>
      <w:numFmt w:val="lowerLetter"/>
      <w:lvlText w:val="(%1)"/>
      <w:lvlJc w:val="left"/>
      <w:pPr>
        <w:ind w:left="753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23148"/>
    <w:multiLevelType w:val="hybridMultilevel"/>
    <w:tmpl w:val="918E8A6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1C7A"/>
    <w:multiLevelType w:val="hybridMultilevel"/>
    <w:tmpl w:val="6A469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565"/>
    <w:multiLevelType w:val="hybridMultilevel"/>
    <w:tmpl w:val="36A85AE0"/>
    <w:lvl w:ilvl="0" w:tplc="9BCE9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FEE40A0"/>
    <w:multiLevelType w:val="hybridMultilevel"/>
    <w:tmpl w:val="DBE0B69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24"/>
  </w:num>
  <w:num w:numId="7">
    <w:abstractNumId w:val="16"/>
  </w:num>
  <w:num w:numId="8">
    <w:abstractNumId w:val="27"/>
  </w:num>
  <w:num w:numId="9">
    <w:abstractNumId w:val="7"/>
  </w:num>
  <w:num w:numId="10">
    <w:abstractNumId w:val="18"/>
  </w:num>
  <w:num w:numId="11">
    <w:abstractNumId w:val="22"/>
  </w:num>
  <w:num w:numId="12">
    <w:abstractNumId w:val="4"/>
  </w:num>
  <w:num w:numId="13">
    <w:abstractNumId w:val="26"/>
  </w:num>
  <w:num w:numId="14">
    <w:abstractNumId w:val="8"/>
  </w:num>
  <w:num w:numId="15">
    <w:abstractNumId w:val="25"/>
  </w:num>
  <w:num w:numId="16">
    <w:abstractNumId w:val="9"/>
  </w:num>
  <w:num w:numId="17">
    <w:abstractNumId w:val="28"/>
  </w:num>
  <w:num w:numId="18">
    <w:abstractNumId w:val="0"/>
  </w:num>
  <w:num w:numId="19">
    <w:abstractNumId w:val="17"/>
  </w:num>
  <w:num w:numId="20">
    <w:abstractNumId w:val="20"/>
  </w:num>
  <w:num w:numId="21">
    <w:abstractNumId w:val="12"/>
  </w:num>
  <w:num w:numId="22">
    <w:abstractNumId w:val="6"/>
  </w:num>
  <w:num w:numId="23">
    <w:abstractNumId w:val="15"/>
  </w:num>
  <w:num w:numId="24">
    <w:abstractNumId w:val="11"/>
  </w:num>
  <w:num w:numId="25">
    <w:abstractNumId w:val="1"/>
  </w:num>
  <w:num w:numId="26">
    <w:abstractNumId w:val="14"/>
  </w:num>
  <w:num w:numId="27">
    <w:abstractNumId w:val="23"/>
  </w:num>
  <w:num w:numId="28">
    <w:abstractNumId w:val="21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17"/>
    <w:rsid w:val="000016E5"/>
    <w:rsid w:val="00001C4D"/>
    <w:rsid w:val="000027F5"/>
    <w:rsid w:val="000123D9"/>
    <w:rsid w:val="00016BD3"/>
    <w:rsid w:val="00030DFB"/>
    <w:rsid w:val="00032DED"/>
    <w:rsid w:val="00034387"/>
    <w:rsid w:val="00036748"/>
    <w:rsid w:val="0004074C"/>
    <w:rsid w:val="00042171"/>
    <w:rsid w:val="000446F4"/>
    <w:rsid w:val="00044DE5"/>
    <w:rsid w:val="00045AAF"/>
    <w:rsid w:val="00046C25"/>
    <w:rsid w:val="00053F99"/>
    <w:rsid w:val="00074524"/>
    <w:rsid w:val="000831BB"/>
    <w:rsid w:val="000C0BAE"/>
    <w:rsid w:val="000C5E0E"/>
    <w:rsid w:val="000D4C42"/>
    <w:rsid w:val="000D59F6"/>
    <w:rsid w:val="000E6B42"/>
    <w:rsid w:val="000F7D67"/>
    <w:rsid w:val="001001A2"/>
    <w:rsid w:val="00113A76"/>
    <w:rsid w:val="00115128"/>
    <w:rsid w:val="00115A00"/>
    <w:rsid w:val="00122733"/>
    <w:rsid w:val="00122EE2"/>
    <w:rsid w:val="0013458D"/>
    <w:rsid w:val="001502EB"/>
    <w:rsid w:val="0015305A"/>
    <w:rsid w:val="00154DB8"/>
    <w:rsid w:val="00157F0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07A1"/>
    <w:rsid w:val="00191C33"/>
    <w:rsid w:val="00193BE3"/>
    <w:rsid w:val="001B131A"/>
    <w:rsid w:val="001B35A3"/>
    <w:rsid w:val="001B7A43"/>
    <w:rsid w:val="001D558B"/>
    <w:rsid w:val="001E51B8"/>
    <w:rsid w:val="001F0F38"/>
    <w:rsid w:val="001F5603"/>
    <w:rsid w:val="001F5C4A"/>
    <w:rsid w:val="00212365"/>
    <w:rsid w:val="002150F3"/>
    <w:rsid w:val="002165A5"/>
    <w:rsid w:val="00220C7A"/>
    <w:rsid w:val="00230C75"/>
    <w:rsid w:val="00240A0F"/>
    <w:rsid w:val="002411EA"/>
    <w:rsid w:val="002415D5"/>
    <w:rsid w:val="0025254A"/>
    <w:rsid w:val="00252C1E"/>
    <w:rsid w:val="002671F9"/>
    <w:rsid w:val="002812CF"/>
    <w:rsid w:val="00293F7A"/>
    <w:rsid w:val="002A1DAE"/>
    <w:rsid w:val="002A33D7"/>
    <w:rsid w:val="002A376F"/>
    <w:rsid w:val="002A49D6"/>
    <w:rsid w:val="002D007F"/>
    <w:rsid w:val="002D1360"/>
    <w:rsid w:val="002E0E61"/>
    <w:rsid w:val="002E28C0"/>
    <w:rsid w:val="002E6E62"/>
    <w:rsid w:val="002F5876"/>
    <w:rsid w:val="003076B5"/>
    <w:rsid w:val="00320428"/>
    <w:rsid w:val="00321013"/>
    <w:rsid w:val="003269DF"/>
    <w:rsid w:val="00327591"/>
    <w:rsid w:val="00331137"/>
    <w:rsid w:val="00336EC3"/>
    <w:rsid w:val="00345193"/>
    <w:rsid w:val="00345F66"/>
    <w:rsid w:val="00361A62"/>
    <w:rsid w:val="00380022"/>
    <w:rsid w:val="003810FA"/>
    <w:rsid w:val="00382868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3F52"/>
    <w:rsid w:val="003D5644"/>
    <w:rsid w:val="003D5BF1"/>
    <w:rsid w:val="003E5EB2"/>
    <w:rsid w:val="00404421"/>
    <w:rsid w:val="00423CB6"/>
    <w:rsid w:val="00426F76"/>
    <w:rsid w:val="00434408"/>
    <w:rsid w:val="00441A82"/>
    <w:rsid w:val="00447E16"/>
    <w:rsid w:val="00450E3D"/>
    <w:rsid w:val="00456715"/>
    <w:rsid w:val="004626E0"/>
    <w:rsid w:val="00466EAD"/>
    <w:rsid w:val="00472669"/>
    <w:rsid w:val="00474C67"/>
    <w:rsid w:val="00481D62"/>
    <w:rsid w:val="00496665"/>
    <w:rsid w:val="00497D07"/>
    <w:rsid w:val="004C103B"/>
    <w:rsid w:val="004C37CC"/>
    <w:rsid w:val="004C7D44"/>
    <w:rsid w:val="004F49A4"/>
    <w:rsid w:val="004F737C"/>
    <w:rsid w:val="004F76A3"/>
    <w:rsid w:val="005040B1"/>
    <w:rsid w:val="0051142D"/>
    <w:rsid w:val="0052145A"/>
    <w:rsid w:val="00521AE7"/>
    <w:rsid w:val="005233A0"/>
    <w:rsid w:val="005256FF"/>
    <w:rsid w:val="005372AE"/>
    <w:rsid w:val="00540970"/>
    <w:rsid w:val="0054140E"/>
    <w:rsid w:val="00543F1D"/>
    <w:rsid w:val="00546361"/>
    <w:rsid w:val="00562243"/>
    <w:rsid w:val="0056431D"/>
    <w:rsid w:val="00572F73"/>
    <w:rsid w:val="00577F75"/>
    <w:rsid w:val="00582455"/>
    <w:rsid w:val="00590C4B"/>
    <w:rsid w:val="00592D94"/>
    <w:rsid w:val="00596248"/>
    <w:rsid w:val="00596954"/>
    <w:rsid w:val="005A1507"/>
    <w:rsid w:val="005B2BBC"/>
    <w:rsid w:val="005C36E2"/>
    <w:rsid w:val="005C538B"/>
    <w:rsid w:val="005D1720"/>
    <w:rsid w:val="005D2DE2"/>
    <w:rsid w:val="005E110E"/>
    <w:rsid w:val="005E4145"/>
    <w:rsid w:val="005F0147"/>
    <w:rsid w:val="00602DEC"/>
    <w:rsid w:val="006039D7"/>
    <w:rsid w:val="0061417F"/>
    <w:rsid w:val="00615D49"/>
    <w:rsid w:val="00620D7D"/>
    <w:rsid w:val="00623A59"/>
    <w:rsid w:val="00625A78"/>
    <w:rsid w:val="00632230"/>
    <w:rsid w:val="006329F7"/>
    <w:rsid w:val="0064231A"/>
    <w:rsid w:val="00643E84"/>
    <w:rsid w:val="00654995"/>
    <w:rsid w:val="00655ACE"/>
    <w:rsid w:val="00660B42"/>
    <w:rsid w:val="00663F2F"/>
    <w:rsid w:val="00682921"/>
    <w:rsid w:val="00692E8A"/>
    <w:rsid w:val="006930CF"/>
    <w:rsid w:val="006B2E42"/>
    <w:rsid w:val="006B6D6B"/>
    <w:rsid w:val="006C6246"/>
    <w:rsid w:val="006D12FA"/>
    <w:rsid w:val="006D2BE4"/>
    <w:rsid w:val="006D467A"/>
    <w:rsid w:val="006D51E2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246A"/>
    <w:rsid w:val="007245BB"/>
    <w:rsid w:val="00730FF0"/>
    <w:rsid w:val="0073119E"/>
    <w:rsid w:val="00733C52"/>
    <w:rsid w:val="00735557"/>
    <w:rsid w:val="00751456"/>
    <w:rsid w:val="0075396C"/>
    <w:rsid w:val="007542EA"/>
    <w:rsid w:val="007736B5"/>
    <w:rsid w:val="00776B40"/>
    <w:rsid w:val="00796199"/>
    <w:rsid w:val="007B5F00"/>
    <w:rsid w:val="007C3899"/>
    <w:rsid w:val="007D0F67"/>
    <w:rsid w:val="007D3043"/>
    <w:rsid w:val="007D41B5"/>
    <w:rsid w:val="007E12DD"/>
    <w:rsid w:val="007E49F2"/>
    <w:rsid w:val="007F20BA"/>
    <w:rsid w:val="007F2D2D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3FAB"/>
    <w:rsid w:val="00853A3E"/>
    <w:rsid w:val="0086147D"/>
    <w:rsid w:val="00864BA4"/>
    <w:rsid w:val="00870FDE"/>
    <w:rsid w:val="008732AD"/>
    <w:rsid w:val="008738AA"/>
    <w:rsid w:val="008740F6"/>
    <w:rsid w:val="008B1363"/>
    <w:rsid w:val="008B1FA4"/>
    <w:rsid w:val="008B2C23"/>
    <w:rsid w:val="008B3F7D"/>
    <w:rsid w:val="008B7E0B"/>
    <w:rsid w:val="008C5C6B"/>
    <w:rsid w:val="008D06B0"/>
    <w:rsid w:val="008D2590"/>
    <w:rsid w:val="008D7EBE"/>
    <w:rsid w:val="008E3EF2"/>
    <w:rsid w:val="008F6257"/>
    <w:rsid w:val="0090157C"/>
    <w:rsid w:val="009031A0"/>
    <w:rsid w:val="009058AD"/>
    <w:rsid w:val="0091505B"/>
    <w:rsid w:val="00915C3A"/>
    <w:rsid w:val="00963A60"/>
    <w:rsid w:val="0096781F"/>
    <w:rsid w:val="00970119"/>
    <w:rsid w:val="0097260B"/>
    <w:rsid w:val="00981BAD"/>
    <w:rsid w:val="00983286"/>
    <w:rsid w:val="00990959"/>
    <w:rsid w:val="00992435"/>
    <w:rsid w:val="009A0B81"/>
    <w:rsid w:val="009A16B4"/>
    <w:rsid w:val="009A3590"/>
    <w:rsid w:val="009A5088"/>
    <w:rsid w:val="009B2AB0"/>
    <w:rsid w:val="009C322F"/>
    <w:rsid w:val="009D11D6"/>
    <w:rsid w:val="009D42F1"/>
    <w:rsid w:val="009D5D08"/>
    <w:rsid w:val="009E03DB"/>
    <w:rsid w:val="009E11FC"/>
    <w:rsid w:val="009E2324"/>
    <w:rsid w:val="009E358F"/>
    <w:rsid w:val="009E61D3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3BA2"/>
    <w:rsid w:val="00A5476E"/>
    <w:rsid w:val="00A70A7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801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033"/>
    <w:rsid w:val="00B10FEE"/>
    <w:rsid w:val="00B11ECD"/>
    <w:rsid w:val="00B21B5B"/>
    <w:rsid w:val="00B24AAE"/>
    <w:rsid w:val="00B30B1F"/>
    <w:rsid w:val="00B31C62"/>
    <w:rsid w:val="00B425C7"/>
    <w:rsid w:val="00B45EDD"/>
    <w:rsid w:val="00B52304"/>
    <w:rsid w:val="00B558FF"/>
    <w:rsid w:val="00B61DEA"/>
    <w:rsid w:val="00B75B50"/>
    <w:rsid w:val="00B80014"/>
    <w:rsid w:val="00B83D2C"/>
    <w:rsid w:val="00B84896"/>
    <w:rsid w:val="00B84ACE"/>
    <w:rsid w:val="00B85760"/>
    <w:rsid w:val="00B87A2F"/>
    <w:rsid w:val="00B93867"/>
    <w:rsid w:val="00BA1193"/>
    <w:rsid w:val="00BA3CEF"/>
    <w:rsid w:val="00BA60C5"/>
    <w:rsid w:val="00BA7441"/>
    <w:rsid w:val="00BC4EBC"/>
    <w:rsid w:val="00BE4F5E"/>
    <w:rsid w:val="00BE50FF"/>
    <w:rsid w:val="00BF4CCF"/>
    <w:rsid w:val="00C10852"/>
    <w:rsid w:val="00C10D1D"/>
    <w:rsid w:val="00C36A1F"/>
    <w:rsid w:val="00C45B63"/>
    <w:rsid w:val="00C6195D"/>
    <w:rsid w:val="00C629AB"/>
    <w:rsid w:val="00C62F78"/>
    <w:rsid w:val="00C645F9"/>
    <w:rsid w:val="00C657F7"/>
    <w:rsid w:val="00C66E23"/>
    <w:rsid w:val="00C71DBB"/>
    <w:rsid w:val="00C73E91"/>
    <w:rsid w:val="00C751C9"/>
    <w:rsid w:val="00C77EEE"/>
    <w:rsid w:val="00C809CA"/>
    <w:rsid w:val="00C83068"/>
    <w:rsid w:val="00C84A70"/>
    <w:rsid w:val="00C85AC0"/>
    <w:rsid w:val="00C91683"/>
    <w:rsid w:val="00C92FD5"/>
    <w:rsid w:val="00CA717F"/>
    <w:rsid w:val="00CB23A0"/>
    <w:rsid w:val="00CB48F6"/>
    <w:rsid w:val="00CC485E"/>
    <w:rsid w:val="00CC73DC"/>
    <w:rsid w:val="00CD1540"/>
    <w:rsid w:val="00CD3258"/>
    <w:rsid w:val="00CE397E"/>
    <w:rsid w:val="00CF2F20"/>
    <w:rsid w:val="00D03FF3"/>
    <w:rsid w:val="00D04890"/>
    <w:rsid w:val="00D156FA"/>
    <w:rsid w:val="00D176EC"/>
    <w:rsid w:val="00D17AA7"/>
    <w:rsid w:val="00D308DF"/>
    <w:rsid w:val="00D4312A"/>
    <w:rsid w:val="00D4451E"/>
    <w:rsid w:val="00D45E21"/>
    <w:rsid w:val="00D4621C"/>
    <w:rsid w:val="00D52276"/>
    <w:rsid w:val="00D54604"/>
    <w:rsid w:val="00D7018D"/>
    <w:rsid w:val="00D76374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100"/>
    <w:rsid w:val="00E01B91"/>
    <w:rsid w:val="00E22831"/>
    <w:rsid w:val="00E27D04"/>
    <w:rsid w:val="00E34BD8"/>
    <w:rsid w:val="00E41F7A"/>
    <w:rsid w:val="00E44929"/>
    <w:rsid w:val="00E510DA"/>
    <w:rsid w:val="00E6082E"/>
    <w:rsid w:val="00E67003"/>
    <w:rsid w:val="00E6754E"/>
    <w:rsid w:val="00E75EA1"/>
    <w:rsid w:val="00E80568"/>
    <w:rsid w:val="00E91E51"/>
    <w:rsid w:val="00E928E5"/>
    <w:rsid w:val="00EA562C"/>
    <w:rsid w:val="00EC0CDF"/>
    <w:rsid w:val="00EC1646"/>
    <w:rsid w:val="00ED2813"/>
    <w:rsid w:val="00ED2FCB"/>
    <w:rsid w:val="00EE1640"/>
    <w:rsid w:val="00EE2A70"/>
    <w:rsid w:val="00EE6969"/>
    <w:rsid w:val="00F02DFD"/>
    <w:rsid w:val="00F11FDB"/>
    <w:rsid w:val="00F22E3F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9688B"/>
    <w:rsid w:val="00FA4F1A"/>
    <w:rsid w:val="00FA7206"/>
    <w:rsid w:val="00FB7997"/>
    <w:rsid w:val="00FD743F"/>
    <w:rsid w:val="00FE0375"/>
    <w:rsid w:val="00FE2133"/>
    <w:rsid w:val="00FE2F10"/>
    <w:rsid w:val="00FF1792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List Paragraph 1,List Paragraph1,Table of contents numbered,footer text,Citation List,BBD_List_Paragraph,Bullet List,normal,Normal2,Normal3,Normal4,Normal5,Normal6,Normal7,Normal8,Normal9,Normal10,Normal11,Normal12,Normal13,3.1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character" w:customStyle="1" w:styleId="ListParagraphChar">
    <w:name w:val="List Paragraph Char"/>
    <w:aliases w:val="Bullets Char,List Paragraph 1 Char,List Paragraph1 Char,Table of contents numbered Char,footer text Char,Citation List Char,BBD_List_Paragraph Char,Bullet List Char,normal Char,Normal2 Char,Normal3 Char,Normal4 Char,Normal5 Char"/>
    <w:link w:val="ListParagraph"/>
    <w:uiPriority w:val="34"/>
    <w:qFormat/>
    <w:locked/>
    <w:rsid w:val="00B75B50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0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uiPriority w:val="1"/>
    <w:qFormat/>
    <w:rsid w:val="009E232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2324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42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32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1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1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6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2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8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68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4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56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34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55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3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032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436">
          <w:marLeft w:val="706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2023-05-03T11:28:00Z</dcterms:created>
  <dcterms:modified xsi:type="dcterms:W3CDTF">2023-05-03T11:28:00Z</dcterms:modified>
</cp:coreProperties>
</file>