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40703">
        <w:rPr>
          <w:b/>
          <w:bCs/>
          <w:sz w:val="24"/>
          <w:u w:val="single"/>
        </w:rPr>
        <w:t>2896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967F1">
        <w:rPr>
          <w:b/>
          <w:bCs/>
          <w:sz w:val="24"/>
          <w:u w:val="single"/>
        </w:rPr>
        <w:t>1</w:t>
      </w:r>
      <w:r w:rsidR="009917E3">
        <w:rPr>
          <w:b/>
          <w:bCs/>
          <w:sz w:val="24"/>
          <w:u w:val="single"/>
        </w:rPr>
        <w:t>2</w:t>
      </w:r>
      <w:r w:rsidR="00AB2486">
        <w:rPr>
          <w:b/>
          <w:bCs/>
          <w:sz w:val="24"/>
          <w:u w:val="single"/>
        </w:rPr>
        <w:t xml:space="preserve"> OCTOBER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A74285">
        <w:rPr>
          <w:b/>
          <w:bCs/>
          <w:sz w:val="24"/>
          <w:u w:val="single"/>
        </w:rPr>
        <w:t>3</w:t>
      </w:r>
      <w:r w:rsidR="009917E3">
        <w:rPr>
          <w:b/>
          <w:bCs/>
          <w:sz w:val="24"/>
          <w:u w:val="single"/>
        </w:rPr>
        <w:t>2</w:t>
      </w:r>
      <w:r w:rsidRPr="00294557">
        <w:rPr>
          <w:b/>
          <w:bCs/>
          <w:sz w:val="24"/>
          <w:u w:val="single"/>
        </w:rPr>
        <w:t>)</w:t>
      </w:r>
    </w:p>
    <w:p w:rsidR="00A40703" w:rsidRPr="00A40703" w:rsidRDefault="00A40703" w:rsidP="00A40703">
      <w:pPr>
        <w:spacing w:before="100" w:beforeAutospacing="1" w:after="100" w:afterAutospacing="1"/>
        <w:jc w:val="both"/>
        <w:outlineLvl w:val="0"/>
        <w:rPr>
          <w:sz w:val="24"/>
          <w:u w:val="single"/>
        </w:rPr>
      </w:pPr>
      <w:r w:rsidRPr="00A40703">
        <w:rPr>
          <w:b/>
          <w:sz w:val="24"/>
          <w:u w:val="single"/>
        </w:rPr>
        <w:t xml:space="preserve">Ms L Mathys (EFF) to </w:t>
      </w:r>
      <w:r w:rsidRPr="00A40703">
        <w:rPr>
          <w:b/>
          <w:sz w:val="24"/>
          <w:u w:val="single"/>
          <w:lang w:val="en-ZA"/>
        </w:rPr>
        <w:t>ask</w:t>
      </w:r>
      <w:r w:rsidRPr="00A40703">
        <w:rPr>
          <w:b/>
          <w:sz w:val="24"/>
          <w:u w:val="single"/>
        </w:rPr>
        <w:t xml:space="preserve"> the Minister of Health:</w:t>
      </w:r>
    </w:p>
    <w:p w:rsidR="00A40703" w:rsidRPr="00A40703" w:rsidRDefault="00A40703" w:rsidP="00A40703">
      <w:pPr>
        <w:spacing w:before="100" w:beforeAutospacing="1" w:after="100" w:afterAutospacing="1"/>
        <w:jc w:val="both"/>
        <w:outlineLvl w:val="0"/>
        <w:rPr>
          <w:sz w:val="24"/>
        </w:rPr>
      </w:pPr>
      <w:r w:rsidRPr="00A40703">
        <w:rPr>
          <w:sz w:val="24"/>
        </w:rPr>
        <w:t xml:space="preserve">Has there ever been an independent assessment of the performance of the National Department of </w:t>
      </w:r>
      <w:r w:rsidRPr="00A40703">
        <w:rPr>
          <w:sz w:val="24"/>
          <w:lang w:eastAsia="en-ZA"/>
        </w:rPr>
        <w:t>Health</w:t>
      </w:r>
      <w:r w:rsidRPr="00A40703">
        <w:rPr>
          <w:sz w:val="24"/>
        </w:rPr>
        <w:t>; if so, (a) by whom and (b) what were the outcomes</w:t>
      </w:r>
      <w:r>
        <w:rPr>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A74285">
        <w:rPr>
          <w:color w:val="000000"/>
        </w:rPr>
        <w:t>3</w:t>
      </w:r>
      <w:r w:rsidR="006C3514">
        <w:rPr>
          <w:color w:val="000000"/>
        </w:rPr>
        <w:t>20</w:t>
      </w:r>
      <w:r w:rsidR="00A40703">
        <w:rPr>
          <w:color w:val="000000"/>
        </w:rPr>
        <w:t>4</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1C6B18" w:rsidRDefault="0029506F" w:rsidP="005F373F">
      <w:pPr>
        <w:spacing w:before="100" w:beforeAutospacing="1" w:after="100" w:afterAutospacing="1"/>
        <w:jc w:val="both"/>
        <w:rPr>
          <w:sz w:val="24"/>
        </w:rPr>
      </w:pPr>
      <w:r>
        <w:rPr>
          <w:sz w:val="24"/>
        </w:rPr>
        <w:t>Several assessments have been done on the National Department of Health (NDOH) and its work including:</w:t>
      </w:r>
    </w:p>
    <w:p w:rsidR="0029506F" w:rsidRDefault="0029506F" w:rsidP="00C22256">
      <w:pPr>
        <w:pStyle w:val="ListParagraph"/>
        <w:numPr>
          <w:ilvl w:val="0"/>
          <w:numId w:val="1"/>
        </w:numPr>
        <w:spacing w:before="100" w:beforeAutospacing="1" w:after="100" w:afterAutospacing="1"/>
        <w:ind w:hanging="720"/>
        <w:jc w:val="both"/>
        <w:rPr>
          <w:sz w:val="24"/>
        </w:rPr>
      </w:pPr>
      <w:r>
        <w:rPr>
          <w:sz w:val="24"/>
        </w:rPr>
        <w:t>The following organisations and Ministerial Task Teams have done assessments on the NDOH:</w:t>
      </w:r>
    </w:p>
    <w:p w:rsidR="0029506F" w:rsidRDefault="0029506F" w:rsidP="0029506F">
      <w:pPr>
        <w:pStyle w:val="ListParagraph"/>
        <w:spacing w:before="100" w:beforeAutospacing="1" w:after="100" w:afterAutospacing="1"/>
        <w:jc w:val="both"/>
        <w:rPr>
          <w:sz w:val="24"/>
        </w:rPr>
      </w:pPr>
    </w:p>
    <w:p w:rsidR="0029506F" w:rsidRDefault="0029506F" w:rsidP="00C22256">
      <w:pPr>
        <w:pStyle w:val="ListParagraph"/>
        <w:numPr>
          <w:ilvl w:val="0"/>
          <w:numId w:val="2"/>
        </w:numPr>
        <w:spacing w:before="100" w:beforeAutospacing="1" w:after="100" w:afterAutospacing="1"/>
        <w:jc w:val="both"/>
        <w:rPr>
          <w:sz w:val="24"/>
        </w:rPr>
      </w:pPr>
      <w:r>
        <w:rPr>
          <w:sz w:val="24"/>
        </w:rPr>
        <w:t>The Department of Public Service and Administration (DPSA);</w:t>
      </w:r>
    </w:p>
    <w:p w:rsidR="0029506F" w:rsidRDefault="0029506F" w:rsidP="00C22256">
      <w:pPr>
        <w:pStyle w:val="ListParagraph"/>
        <w:numPr>
          <w:ilvl w:val="0"/>
          <w:numId w:val="2"/>
        </w:numPr>
        <w:spacing w:before="100" w:beforeAutospacing="1" w:after="100" w:afterAutospacing="1"/>
        <w:jc w:val="both"/>
        <w:rPr>
          <w:sz w:val="24"/>
        </w:rPr>
      </w:pPr>
      <w:r>
        <w:rPr>
          <w:sz w:val="24"/>
        </w:rPr>
        <w:t>The Auditor-General of South Africa (AGSA);</w:t>
      </w:r>
    </w:p>
    <w:p w:rsidR="0029506F" w:rsidRDefault="0029506F" w:rsidP="00C22256">
      <w:pPr>
        <w:pStyle w:val="ListParagraph"/>
        <w:numPr>
          <w:ilvl w:val="0"/>
          <w:numId w:val="2"/>
        </w:numPr>
        <w:spacing w:before="100" w:beforeAutospacing="1" w:after="100" w:afterAutospacing="1"/>
        <w:jc w:val="both"/>
        <w:rPr>
          <w:sz w:val="24"/>
        </w:rPr>
      </w:pPr>
      <w:r>
        <w:rPr>
          <w:sz w:val="24"/>
        </w:rPr>
        <w:t>The Clinton Health Access Initiative (CHAI) Centre for Disease Control and Prevention (CDC) and Ministerial Task Teams;</w:t>
      </w:r>
    </w:p>
    <w:p w:rsidR="0029506F" w:rsidRDefault="0029506F" w:rsidP="00C22256">
      <w:pPr>
        <w:pStyle w:val="ListParagraph"/>
        <w:numPr>
          <w:ilvl w:val="0"/>
          <w:numId w:val="2"/>
        </w:numPr>
        <w:spacing w:before="100" w:beforeAutospacing="1" w:after="100" w:afterAutospacing="1"/>
        <w:jc w:val="both"/>
        <w:rPr>
          <w:sz w:val="24"/>
        </w:rPr>
      </w:pPr>
      <w:r>
        <w:rPr>
          <w:sz w:val="24"/>
        </w:rPr>
        <w:t>Health Systems Trust (HST)</w:t>
      </w:r>
    </w:p>
    <w:p w:rsidR="0029506F" w:rsidRPr="0029506F" w:rsidRDefault="0029506F" w:rsidP="0029506F">
      <w:pPr>
        <w:pStyle w:val="ListParagraph"/>
        <w:spacing w:before="100" w:beforeAutospacing="1" w:after="100" w:afterAutospacing="1"/>
        <w:ind w:left="1440"/>
        <w:jc w:val="both"/>
        <w:rPr>
          <w:sz w:val="24"/>
        </w:rPr>
      </w:pPr>
    </w:p>
    <w:p w:rsidR="0029506F" w:rsidRDefault="0029506F" w:rsidP="00C22256">
      <w:pPr>
        <w:pStyle w:val="ListParagraph"/>
        <w:numPr>
          <w:ilvl w:val="0"/>
          <w:numId w:val="1"/>
        </w:numPr>
        <w:tabs>
          <w:tab w:val="left" w:pos="720"/>
        </w:tabs>
        <w:spacing w:before="100" w:beforeAutospacing="1" w:after="100" w:afterAutospacing="1"/>
        <w:ind w:left="1440" w:hanging="1440"/>
        <w:jc w:val="both"/>
        <w:rPr>
          <w:sz w:val="24"/>
        </w:rPr>
      </w:pPr>
      <w:r>
        <w:rPr>
          <w:sz w:val="24"/>
        </w:rPr>
        <w:t>(i)</w:t>
      </w:r>
      <w:r>
        <w:rPr>
          <w:sz w:val="24"/>
        </w:rPr>
        <w:tab/>
        <w:t>An external assessment of the NDOH human resources structure and organogram was done by the DPSA. This assessment led to the approved current approved structure, and currently the NDOH is engaging the DPSA on the proposed NHI restructuring;</w:t>
      </w:r>
    </w:p>
    <w:p w:rsidR="0029506F" w:rsidRDefault="0029506F" w:rsidP="0029506F">
      <w:pPr>
        <w:tabs>
          <w:tab w:val="left" w:pos="720"/>
        </w:tabs>
        <w:spacing w:before="100" w:beforeAutospacing="1" w:after="100" w:afterAutospacing="1"/>
        <w:ind w:left="1440" w:hanging="1440"/>
        <w:jc w:val="both"/>
        <w:rPr>
          <w:sz w:val="24"/>
        </w:rPr>
      </w:pPr>
      <w:r>
        <w:rPr>
          <w:sz w:val="24"/>
        </w:rPr>
        <w:tab/>
        <w:t>(ii)</w:t>
      </w:r>
      <w:r>
        <w:rPr>
          <w:sz w:val="24"/>
        </w:rPr>
        <w:tab/>
        <w:t>The AGSA annual assessments of performance information of human resources, finance, information technology and procurement systems management and adherence to required regulations and prescripts. The NDOH develops and implements and improvement action for each audit, such that it has obtained and unqualified financial audit from 2010 to 2017. For performance information several investments have been made to facilitate improvement in performance in the NDOH and the health sector. Key initiatives include implementation of the health patient registration system (HPRS);</w:t>
      </w:r>
    </w:p>
    <w:p w:rsidR="0029506F" w:rsidRDefault="0029506F" w:rsidP="0029506F">
      <w:pPr>
        <w:tabs>
          <w:tab w:val="left" w:pos="720"/>
        </w:tabs>
        <w:spacing w:before="100" w:beforeAutospacing="1" w:after="100" w:afterAutospacing="1"/>
        <w:ind w:left="1440" w:hanging="1440"/>
        <w:jc w:val="both"/>
        <w:rPr>
          <w:sz w:val="24"/>
        </w:rPr>
      </w:pPr>
      <w:r>
        <w:rPr>
          <w:sz w:val="24"/>
        </w:rPr>
        <w:tab/>
        <w:t>(iii)</w:t>
      </w:r>
      <w:r>
        <w:rPr>
          <w:sz w:val="24"/>
        </w:rPr>
        <w:tab/>
        <w:t>Evaluations and assessments</w:t>
      </w:r>
      <w:r w:rsidR="007759C2">
        <w:rPr>
          <w:sz w:val="24"/>
        </w:rPr>
        <w:t xml:space="preserve"> are often conducted for new initiatives introduced by the NDOH in the provinces, e.g the NHI pilot initiatives. With regards to the latter annual assessments have been done by independent organisations such as CHAI and CDC. Assessments are also done by expert committees established by the Minister, e.g the Ministerial Task Team I appointed in July 2015 to investigate the allegations of mismanagement, poor service delivery and unacceptable conditions in hospitals;</w:t>
      </w:r>
    </w:p>
    <w:p w:rsidR="006F39B5" w:rsidRDefault="006F39B5" w:rsidP="0029506F">
      <w:pPr>
        <w:tabs>
          <w:tab w:val="left" w:pos="720"/>
        </w:tabs>
        <w:spacing w:before="100" w:beforeAutospacing="1" w:after="100" w:afterAutospacing="1"/>
        <w:ind w:left="1440" w:hanging="1440"/>
        <w:jc w:val="both"/>
        <w:rPr>
          <w:sz w:val="24"/>
        </w:rPr>
      </w:pPr>
    </w:p>
    <w:p w:rsidR="007759C2" w:rsidRDefault="007759C2" w:rsidP="00C22256">
      <w:pPr>
        <w:pStyle w:val="ListParagraph"/>
        <w:numPr>
          <w:ilvl w:val="0"/>
          <w:numId w:val="2"/>
        </w:numPr>
        <w:tabs>
          <w:tab w:val="left" w:pos="720"/>
        </w:tabs>
        <w:spacing w:before="100" w:beforeAutospacing="1" w:after="100" w:afterAutospacing="1"/>
        <w:jc w:val="both"/>
        <w:rPr>
          <w:sz w:val="24"/>
        </w:rPr>
      </w:pPr>
      <w:r w:rsidRPr="007759C2">
        <w:rPr>
          <w:sz w:val="24"/>
        </w:rPr>
        <w:lastRenderedPageBreak/>
        <w:t>Annual reviews of various components of the health system are done annually and published in the South African Health Review (SAHR). This has been done since 1995, and contents are written by health policy systems research experts. The SAHR is an accredited journal which covers a range of topics including policy, legislation, health systems, diseases, finance human resources, leadership, governance and others. This publication is unique to the health sector in South Africa, and is accessible at the HST website:</w:t>
      </w:r>
      <w:r w:rsidR="006F39B5">
        <w:rPr>
          <w:sz w:val="24"/>
        </w:rPr>
        <w:t>.</w:t>
      </w:r>
    </w:p>
    <w:p w:rsidR="006F39B5" w:rsidRPr="006F39B5" w:rsidRDefault="006F39B5" w:rsidP="006F39B5">
      <w:pPr>
        <w:pStyle w:val="ListParagraph"/>
        <w:tabs>
          <w:tab w:val="left" w:pos="720"/>
        </w:tabs>
        <w:spacing w:before="100" w:beforeAutospacing="1" w:after="100" w:afterAutospacing="1"/>
        <w:ind w:left="1440"/>
        <w:jc w:val="both"/>
        <w:rPr>
          <w:rStyle w:val="Hyperlink"/>
          <w:sz w:val="24"/>
        </w:rPr>
      </w:pPr>
      <w:r>
        <w:rPr>
          <w:sz w:val="24"/>
        </w:rPr>
        <w:fldChar w:fldCharType="begin"/>
      </w:r>
      <w:r>
        <w:rPr>
          <w:sz w:val="24"/>
        </w:rPr>
        <w:instrText xml:space="preserve"> HYPERLINK "mailto:Joe.kgatla@gmail.com" </w:instrText>
      </w:r>
      <w:r>
        <w:rPr>
          <w:sz w:val="24"/>
        </w:rPr>
        <w:fldChar w:fldCharType="separate"/>
      </w:r>
      <w:r w:rsidR="007759C2" w:rsidRPr="006F39B5">
        <w:rPr>
          <w:rStyle w:val="Hyperlink"/>
          <w:sz w:val="24"/>
          <w:u w:val="single"/>
        </w:rPr>
        <w:t>http/www.hst.org.za/publications/Pages/HSTSouthAfricanHealthReview.aspx</w:t>
      </w:r>
      <w:r w:rsidRPr="006F39B5">
        <w:rPr>
          <w:rStyle w:val="Hyperlink"/>
          <w:sz w:val="24"/>
        </w:rPr>
        <w:t xml:space="preserve"> </w:t>
      </w:r>
    </w:p>
    <w:p w:rsidR="006F39B5" w:rsidRPr="006F39B5" w:rsidRDefault="006F39B5" w:rsidP="006F39B5">
      <w:pPr>
        <w:pStyle w:val="ListParagraph"/>
        <w:tabs>
          <w:tab w:val="left" w:pos="720"/>
        </w:tabs>
        <w:spacing w:before="100" w:beforeAutospacing="1" w:after="100" w:afterAutospacing="1"/>
        <w:ind w:left="1440"/>
        <w:jc w:val="both"/>
        <w:rPr>
          <w:rStyle w:val="Hyperlink"/>
          <w:sz w:val="24"/>
        </w:rPr>
      </w:pPr>
    </w:p>
    <w:p w:rsidR="006F39B5" w:rsidRDefault="006F39B5" w:rsidP="006F39B5">
      <w:pPr>
        <w:pStyle w:val="ListParagraph"/>
        <w:tabs>
          <w:tab w:val="left" w:pos="720"/>
        </w:tabs>
        <w:spacing w:before="100" w:beforeAutospacing="1" w:after="100" w:afterAutospacing="1"/>
        <w:ind w:left="1440"/>
        <w:jc w:val="both"/>
        <w:rPr>
          <w:sz w:val="24"/>
        </w:rPr>
      </w:pPr>
      <w:r>
        <w:rPr>
          <w:rStyle w:val="Hyperlink"/>
          <w:sz w:val="24"/>
        </w:rPr>
        <w:t xml:space="preserve">       </w:t>
      </w:r>
      <w:r>
        <w:rPr>
          <w:sz w:val="24"/>
        </w:rPr>
        <w:fldChar w:fldCharType="end"/>
      </w:r>
      <w:r>
        <w:rPr>
          <w:sz w:val="24"/>
        </w:rPr>
        <w:t xml:space="preserve"> </w:t>
      </w:r>
    </w:p>
    <w:p w:rsidR="00E238C2" w:rsidRPr="006F39B5" w:rsidRDefault="00E238C2" w:rsidP="006F39B5">
      <w:pPr>
        <w:pStyle w:val="ListParagraph"/>
        <w:tabs>
          <w:tab w:val="left" w:pos="720"/>
        </w:tabs>
        <w:spacing w:before="100" w:beforeAutospacing="1" w:after="100" w:afterAutospacing="1"/>
        <w:ind w:left="0"/>
        <w:jc w:val="both"/>
        <w:rPr>
          <w:sz w:val="24"/>
        </w:rPr>
      </w:pPr>
      <w:r w:rsidRPr="005E7BF6">
        <w:rPr>
          <w:sz w:val="24"/>
        </w:rPr>
        <w:t>END.</w:t>
      </w:r>
    </w:p>
    <w:sectPr w:rsidR="00E238C2" w:rsidRPr="006F39B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256" w:rsidRDefault="00C22256">
      <w:r>
        <w:separator/>
      </w:r>
    </w:p>
  </w:endnote>
  <w:endnote w:type="continuationSeparator" w:id="1">
    <w:p w:rsidR="00C22256" w:rsidRDefault="00C222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DE2966">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DE2966">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6F39B5">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256" w:rsidRDefault="00C22256">
      <w:r>
        <w:separator/>
      </w:r>
    </w:p>
  </w:footnote>
  <w:footnote w:type="continuationSeparator" w:id="1">
    <w:p w:rsidR="00C22256" w:rsidRDefault="00C222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76AE1"/>
    <w:multiLevelType w:val="hybridMultilevel"/>
    <w:tmpl w:val="273448CE"/>
    <w:lvl w:ilvl="0" w:tplc="B694D4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A12860"/>
    <w:multiLevelType w:val="hybridMultilevel"/>
    <w:tmpl w:val="4C04BD7A"/>
    <w:lvl w:ilvl="0" w:tplc="F43E8A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44916"/>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A5C4B"/>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2A4C"/>
    <w:rsid w:val="00125A56"/>
    <w:rsid w:val="00126183"/>
    <w:rsid w:val="001338AB"/>
    <w:rsid w:val="00134634"/>
    <w:rsid w:val="0013580E"/>
    <w:rsid w:val="00136BF0"/>
    <w:rsid w:val="00145C76"/>
    <w:rsid w:val="00150F90"/>
    <w:rsid w:val="00157836"/>
    <w:rsid w:val="00160BDE"/>
    <w:rsid w:val="00162641"/>
    <w:rsid w:val="00163A17"/>
    <w:rsid w:val="001646AE"/>
    <w:rsid w:val="001651E2"/>
    <w:rsid w:val="00177AFF"/>
    <w:rsid w:val="00186E43"/>
    <w:rsid w:val="001934EC"/>
    <w:rsid w:val="001976A7"/>
    <w:rsid w:val="001A5759"/>
    <w:rsid w:val="001A5BBB"/>
    <w:rsid w:val="001B62F5"/>
    <w:rsid w:val="001B67CA"/>
    <w:rsid w:val="001B7AA5"/>
    <w:rsid w:val="001C0252"/>
    <w:rsid w:val="001C2FB1"/>
    <w:rsid w:val="001C433A"/>
    <w:rsid w:val="001C4B60"/>
    <w:rsid w:val="001C6528"/>
    <w:rsid w:val="001C6B18"/>
    <w:rsid w:val="001C7B50"/>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506F"/>
    <w:rsid w:val="00297C5B"/>
    <w:rsid w:val="002A0794"/>
    <w:rsid w:val="002A0E7D"/>
    <w:rsid w:val="002A351F"/>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47C6"/>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37F26"/>
    <w:rsid w:val="004427F2"/>
    <w:rsid w:val="004432AA"/>
    <w:rsid w:val="004456A9"/>
    <w:rsid w:val="0045377F"/>
    <w:rsid w:val="0047454A"/>
    <w:rsid w:val="004755C3"/>
    <w:rsid w:val="004759B3"/>
    <w:rsid w:val="0048302D"/>
    <w:rsid w:val="00483FEE"/>
    <w:rsid w:val="00486B69"/>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082"/>
    <w:rsid w:val="005512E8"/>
    <w:rsid w:val="00551559"/>
    <w:rsid w:val="0055331A"/>
    <w:rsid w:val="00557CEE"/>
    <w:rsid w:val="0056205A"/>
    <w:rsid w:val="00563653"/>
    <w:rsid w:val="00570065"/>
    <w:rsid w:val="00574AA4"/>
    <w:rsid w:val="00576020"/>
    <w:rsid w:val="00584FAF"/>
    <w:rsid w:val="00586AC5"/>
    <w:rsid w:val="00590E40"/>
    <w:rsid w:val="005912DF"/>
    <w:rsid w:val="005937C8"/>
    <w:rsid w:val="005938AC"/>
    <w:rsid w:val="00597AAF"/>
    <w:rsid w:val="005A3895"/>
    <w:rsid w:val="005A6911"/>
    <w:rsid w:val="005C171D"/>
    <w:rsid w:val="005C4284"/>
    <w:rsid w:val="005C491B"/>
    <w:rsid w:val="005D0D19"/>
    <w:rsid w:val="005D55C6"/>
    <w:rsid w:val="005D7A2A"/>
    <w:rsid w:val="005E1FBC"/>
    <w:rsid w:val="005E5D63"/>
    <w:rsid w:val="005E7BF6"/>
    <w:rsid w:val="005F373F"/>
    <w:rsid w:val="00602574"/>
    <w:rsid w:val="00610BC7"/>
    <w:rsid w:val="00616273"/>
    <w:rsid w:val="00616356"/>
    <w:rsid w:val="006175C7"/>
    <w:rsid w:val="00623C5C"/>
    <w:rsid w:val="00623E12"/>
    <w:rsid w:val="00633A6C"/>
    <w:rsid w:val="00635745"/>
    <w:rsid w:val="00635890"/>
    <w:rsid w:val="00637291"/>
    <w:rsid w:val="0063794C"/>
    <w:rsid w:val="00646F50"/>
    <w:rsid w:val="00650785"/>
    <w:rsid w:val="00665A72"/>
    <w:rsid w:val="006664AE"/>
    <w:rsid w:val="006779D4"/>
    <w:rsid w:val="00683343"/>
    <w:rsid w:val="006930ED"/>
    <w:rsid w:val="006A34EA"/>
    <w:rsid w:val="006A68AD"/>
    <w:rsid w:val="006B1A27"/>
    <w:rsid w:val="006B5E48"/>
    <w:rsid w:val="006B6DAA"/>
    <w:rsid w:val="006B750D"/>
    <w:rsid w:val="006C11DE"/>
    <w:rsid w:val="006C3514"/>
    <w:rsid w:val="006C3B39"/>
    <w:rsid w:val="006C4A26"/>
    <w:rsid w:val="006C67FA"/>
    <w:rsid w:val="006D3C72"/>
    <w:rsid w:val="006D617D"/>
    <w:rsid w:val="006E2082"/>
    <w:rsid w:val="006E6C41"/>
    <w:rsid w:val="006E77B3"/>
    <w:rsid w:val="006E7C45"/>
    <w:rsid w:val="006F1231"/>
    <w:rsid w:val="006F221E"/>
    <w:rsid w:val="006F39B5"/>
    <w:rsid w:val="006F4912"/>
    <w:rsid w:val="006F501B"/>
    <w:rsid w:val="006F5204"/>
    <w:rsid w:val="006F69D0"/>
    <w:rsid w:val="006F7E16"/>
    <w:rsid w:val="007048D7"/>
    <w:rsid w:val="007065E0"/>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59C2"/>
    <w:rsid w:val="00777940"/>
    <w:rsid w:val="0078501B"/>
    <w:rsid w:val="00786C98"/>
    <w:rsid w:val="00786EC5"/>
    <w:rsid w:val="007930D8"/>
    <w:rsid w:val="007A0D02"/>
    <w:rsid w:val="007A3E1B"/>
    <w:rsid w:val="007A4252"/>
    <w:rsid w:val="007A6FF8"/>
    <w:rsid w:val="007C02C3"/>
    <w:rsid w:val="007C05C6"/>
    <w:rsid w:val="007C1F51"/>
    <w:rsid w:val="007D272A"/>
    <w:rsid w:val="007D3A06"/>
    <w:rsid w:val="007D69C3"/>
    <w:rsid w:val="007E185C"/>
    <w:rsid w:val="007E6493"/>
    <w:rsid w:val="007E6896"/>
    <w:rsid w:val="007F19E9"/>
    <w:rsid w:val="007F296D"/>
    <w:rsid w:val="007F4A81"/>
    <w:rsid w:val="007F547F"/>
    <w:rsid w:val="007F6D34"/>
    <w:rsid w:val="008019CD"/>
    <w:rsid w:val="00802311"/>
    <w:rsid w:val="008027EE"/>
    <w:rsid w:val="008067F9"/>
    <w:rsid w:val="00806BF2"/>
    <w:rsid w:val="0081272C"/>
    <w:rsid w:val="00815128"/>
    <w:rsid w:val="00815BE6"/>
    <w:rsid w:val="00816881"/>
    <w:rsid w:val="00817533"/>
    <w:rsid w:val="00817CE9"/>
    <w:rsid w:val="00824313"/>
    <w:rsid w:val="00827A03"/>
    <w:rsid w:val="00836775"/>
    <w:rsid w:val="0084076E"/>
    <w:rsid w:val="00846CD4"/>
    <w:rsid w:val="00852234"/>
    <w:rsid w:val="008603CC"/>
    <w:rsid w:val="00860B56"/>
    <w:rsid w:val="0086637B"/>
    <w:rsid w:val="008743D4"/>
    <w:rsid w:val="00880CA3"/>
    <w:rsid w:val="00881230"/>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17E3"/>
    <w:rsid w:val="009922DD"/>
    <w:rsid w:val="00993155"/>
    <w:rsid w:val="00997270"/>
    <w:rsid w:val="00997EC4"/>
    <w:rsid w:val="009A063B"/>
    <w:rsid w:val="009A2424"/>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310"/>
    <w:rsid w:val="00A22D4B"/>
    <w:rsid w:val="00A24207"/>
    <w:rsid w:val="00A24CAA"/>
    <w:rsid w:val="00A251E7"/>
    <w:rsid w:val="00A346DA"/>
    <w:rsid w:val="00A34C5E"/>
    <w:rsid w:val="00A4066B"/>
    <w:rsid w:val="00A40703"/>
    <w:rsid w:val="00A41FC8"/>
    <w:rsid w:val="00A42B7B"/>
    <w:rsid w:val="00A42F9C"/>
    <w:rsid w:val="00A431D7"/>
    <w:rsid w:val="00A46BC2"/>
    <w:rsid w:val="00A50E3A"/>
    <w:rsid w:val="00A5166A"/>
    <w:rsid w:val="00A51CEC"/>
    <w:rsid w:val="00A56D5C"/>
    <w:rsid w:val="00A60052"/>
    <w:rsid w:val="00A6048F"/>
    <w:rsid w:val="00A74285"/>
    <w:rsid w:val="00A7509E"/>
    <w:rsid w:val="00A756AC"/>
    <w:rsid w:val="00A76B2C"/>
    <w:rsid w:val="00A80234"/>
    <w:rsid w:val="00A80F10"/>
    <w:rsid w:val="00A82D5D"/>
    <w:rsid w:val="00A848F8"/>
    <w:rsid w:val="00A84A36"/>
    <w:rsid w:val="00A874BD"/>
    <w:rsid w:val="00A87CFA"/>
    <w:rsid w:val="00A915F5"/>
    <w:rsid w:val="00A93CDF"/>
    <w:rsid w:val="00AA288A"/>
    <w:rsid w:val="00AA6504"/>
    <w:rsid w:val="00AA7AC6"/>
    <w:rsid w:val="00AB0EAC"/>
    <w:rsid w:val="00AB1AB1"/>
    <w:rsid w:val="00AB2486"/>
    <w:rsid w:val="00AB3C74"/>
    <w:rsid w:val="00AB7658"/>
    <w:rsid w:val="00AC2DBD"/>
    <w:rsid w:val="00AC37C9"/>
    <w:rsid w:val="00AC46E9"/>
    <w:rsid w:val="00AC48AC"/>
    <w:rsid w:val="00AC6AC3"/>
    <w:rsid w:val="00AD1A8B"/>
    <w:rsid w:val="00AD200E"/>
    <w:rsid w:val="00AD27EB"/>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225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14BC"/>
    <w:rsid w:val="00DD5010"/>
    <w:rsid w:val="00DE1045"/>
    <w:rsid w:val="00DE233C"/>
    <w:rsid w:val="00DE2966"/>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4AF8"/>
    <w:rsid w:val="00E5772A"/>
    <w:rsid w:val="00E61438"/>
    <w:rsid w:val="00E61656"/>
    <w:rsid w:val="00E6419C"/>
    <w:rsid w:val="00E64308"/>
    <w:rsid w:val="00E70BD1"/>
    <w:rsid w:val="00E718E3"/>
    <w:rsid w:val="00E82ED2"/>
    <w:rsid w:val="00E85240"/>
    <w:rsid w:val="00E9265B"/>
    <w:rsid w:val="00EA32F5"/>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3FE"/>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styleId="FollowedHyperlink">
    <w:name w:val="FollowedHyperlink"/>
    <w:basedOn w:val="DefaultParagraphFont"/>
    <w:rsid w:val="006F39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2018-05-18T13:09:00Z</cp:lastPrinted>
  <dcterms:created xsi:type="dcterms:W3CDTF">2018-10-21T15:38:00Z</dcterms:created>
  <dcterms:modified xsi:type="dcterms:W3CDTF">2018-11-03T15:30:00Z</dcterms:modified>
</cp:coreProperties>
</file>