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C9" w:rsidRDefault="008716C9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8716C9" w:rsidRDefault="008716C9" w:rsidP="008716C9">
      <w:pPr>
        <w:jc w:val="center"/>
        <w:rPr>
          <w:rFonts w:ascii="Arial" w:eastAsia="Calibri" w:hAnsi="Arial" w:cs="Arial"/>
          <w:b/>
          <w:lang w:val="en-ZA"/>
        </w:rPr>
      </w:pPr>
    </w:p>
    <w:p w:rsidR="008716C9" w:rsidRDefault="00095E92" w:rsidP="008716C9">
      <w:pPr>
        <w:jc w:val="center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6C9" w:rsidRDefault="008716C9" w:rsidP="008716C9">
      <w:pPr>
        <w:jc w:val="center"/>
        <w:rPr>
          <w:rFonts w:ascii="Arial" w:eastAsia="Calibri" w:hAnsi="Arial" w:cs="Arial"/>
          <w:b/>
          <w:lang w:val="en-ZA"/>
        </w:rPr>
      </w:pPr>
    </w:p>
    <w:p w:rsidR="008716C9" w:rsidRPr="008716C9" w:rsidRDefault="008716C9" w:rsidP="008716C9">
      <w:pPr>
        <w:jc w:val="center"/>
        <w:rPr>
          <w:rFonts w:ascii="Arial" w:eastAsia="Calibri" w:hAnsi="Arial" w:cs="Arial"/>
          <w:b/>
          <w:lang w:val="en-ZA"/>
        </w:rPr>
      </w:pPr>
      <w:r w:rsidRPr="008716C9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8716C9" w:rsidRPr="008716C9" w:rsidRDefault="008716C9" w:rsidP="008716C9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8716C9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8716C9" w:rsidRDefault="008716C9" w:rsidP="008716C9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8716C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8716C9" w:rsidP="008716C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8716C9" w:rsidP="008716C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A2151">
        <w:rPr>
          <w:rFonts w:ascii="Arial" w:eastAsia="Calibri" w:hAnsi="Arial" w:cs="Arial"/>
          <w:b/>
          <w:bCs/>
          <w:lang w:val="en-GB"/>
        </w:rPr>
        <w:t>2</w:t>
      </w:r>
      <w:r w:rsidR="00625EAF">
        <w:rPr>
          <w:rFonts w:ascii="Arial" w:eastAsia="Calibri" w:hAnsi="Arial" w:cs="Arial"/>
          <w:b/>
          <w:bCs/>
          <w:lang w:val="en-GB"/>
        </w:rPr>
        <w:t>8</w:t>
      </w:r>
      <w:r w:rsidR="00BE1C8B">
        <w:rPr>
          <w:rFonts w:ascii="Arial" w:eastAsia="Calibri" w:hAnsi="Arial" w:cs="Arial"/>
          <w:b/>
          <w:bCs/>
          <w:lang w:val="en-GB"/>
        </w:rPr>
        <w:t>89</w:t>
      </w:r>
    </w:p>
    <w:p w:rsidR="00130BDB" w:rsidRPr="008716C9" w:rsidRDefault="00130BDB" w:rsidP="008716C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716C9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640DE8" w:rsidRPr="008716C9">
        <w:rPr>
          <w:rFonts w:ascii="Arial" w:eastAsia="Calibri" w:hAnsi="Arial" w:cs="Arial"/>
          <w:b/>
          <w:bCs/>
          <w:lang w:val="en-GB"/>
        </w:rPr>
        <w:t>0</w:t>
      </w:r>
      <w:r w:rsidR="00BE1C8B" w:rsidRPr="008716C9">
        <w:rPr>
          <w:rFonts w:ascii="Arial" w:eastAsia="Calibri" w:hAnsi="Arial" w:cs="Arial"/>
          <w:b/>
          <w:bCs/>
          <w:lang w:val="en-GB"/>
        </w:rPr>
        <w:t>9</w:t>
      </w:r>
      <w:r w:rsidR="008716C9" w:rsidRPr="008716C9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8716C9">
        <w:rPr>
          <w:rFonts w:ascii="Arial" w:eastAsia="Calibri" w:hAnsi="Arial" w:cs="Arial"/>
          <w:b/>
          <w:bCs/>
          <w:lang w:val="en-GB"/>
        </w:rPr>
        <w:t>20</w:t>
      </w:r>
      <w:r w:rsidR="003F2E8D" w:rsidRPr="008716C9">
        <w:rPr>
          <w:rFonts w:ascii="Arial" w:eastAsia="Calibri" w:hAnsi="Arial" w:cs="Arial"/>
          <w:b/>
          <w:bCs/>
          <w:lang w:val="en-GB"/>
        </w:rPr>
        <w:t>2</w:t>
      </w:r>
      <w:r w:rsidR="00CC7543" w:rsidRPr="008716C9">
        <w:rPr>
          <w:rFonts w:ascii="Arial" w:eastAsia="Calibri" w:hAnsi="Arial" w:cs="Arial"/>
          <w:b/>
          <w:bCs/>
          <w:lang w:val="en-GB"/>
        </w:rPr>
        <w:t>2</w:t>
      </w:r>
    </w:p>
    <w:p w:rsidR="008716C9" w:rsidRPr="008716C9" w:rsidRDefault="008716C9" w:rsidP="008716C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716C9">
        <w:rPr>
          <w:rFonts w:ascii="Arial" w:eastAsia="Calibri" w:hAnsi="Arial" w:cs="Arial"/>
          <w:b/>
          <w:bCs/>
          <w:lang w:val="en-GB"/>
        </w:rPr>
        <w:t>DATE OF SUBMISSION: 23 SEPTEMBER 2022</w:t>
      </w:r>
    </w:p>
    <w:p w:rsidR="00BE1C8B" w:rsidRPr="00BE1C8B" w:rsidRDefault="00BE1C8B" w:rsidP="00BE1C8B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E1C8B">
        <w:rPr>
          <w:rFonts w:ascii="Arial" w:hAnsi="Arial" w:cs="Arial"/>
          <w:b/>
          <w:bCs/>
          <w:lang w:val="en-ZA"/>
        </w:rPr>
        <w:t>Mr B N Herron (Good) to ask the Minister of Justice and Correctional Services</w:t>
      </w:r>
      <w:r w:rsidRPr="00BE1C8B">
        <w:rPr>
          <w:rFonts w:ascii="Arial" w:hAnsi="Arial" w:cs="Arial"/>
          <w:b/>
          <w:bCs/>
          <w:lang w:val="en-ZA"/>
        </w:rPr>
        <w:fldChar w:fldCharType="begin"/>
      </w:r>
      <w:r w:rsidRPr="00BE1C8B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Pr="00BE1C8B">
        <w:rPr>
          <w:rFonts w:ascii="Arial" w:hAnsi="Arial" w:cs="Arial"/>
          <w:b/>
          <w:bCs/>
          <w:lang w:val="en-ZA"/>
        </w:rPr>
        <w:fldChar w:fldCharType="end"/>
      </w:r>
      <w:r w:rsidRPr="00BE1C8B">
        <w:rPr>
          <w:rFonts w:ascii="Arial" w:hAnsi="Arial" w:cs="Arial"/>
          <w:b/>
          <w:bCs/>
          <w:lang w:val="en-ZA"/>
        </w:rPr>
        <w:t>:</w:t>
      </w:r>
    </w:p>
    <w:p w:rsidR="00BE1C8B" w:rsidRPr="00BE1C8B" w:rsidRDefault="00BE1C8B" w:rsidP="00BE1C8B">
      <w:pPr>
        <w:numPr>
          <w:ilvl w:val="0"/>
          <w:numId w:val="2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BE1C8B">
        <w:rPr>
          <w:rFonts w:ascii="Arial" w:hAnsi="Arial" w:cs="Arial"/>
          <w:lang w:val="en-ZA"/>
        </w:rPr>
        <w:t>Whether the National Prosecuting Authority (NPA) has concluded its assessment of the Truth and Reconciliation Commission (TRC) cases; if not, by what date is it envisaged that the NPA will take a decision on the remaining cases; if so, what are the reasons that the remaining cases were not referred for investigation and/or prosecution;</w:t>
      </w:r>
    </w:p>
    <w:p w:rsidR="00BE1C8B" w:rsidRDefault="00BE1C8B" w:rsidP="00BE1C8B">
      <w:pPr>
        <w:numPr>
          <w:ilvl w:val="0"/>
          <w:numId w:val="2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BE1C8B">
        <w:rPr>
          <w:rFonts w:ascii="Arial" w:hAnsi="Arial" w:cs="Arial"/>
          <w:lang w:val="en-ZA"/>
        </w:rPr>
        <w:t>hich TRC cases have already been referred to the Directorate for Priority Crime Investigation?</w:t>
      </w:r>
      <w:r w:rsidRPr="00BE1C8B">
        <w:rPr>
          <w:rFonts w:ascii="Arial" w:hAnsi="Arial" w:cs="Arial"/>
          <w:lang w:val="en-ZA"/>
        </w:rPr>
        <w:tab/>
      </w:r>
      <w:r w:rsidRPr="00BE1C8B">
        <w:rPr>
          <w:rFonts w:ascii="Arial" w:hAnsi="Arial" w:cs="Arial"/>
          <w:lang w:val="en-ZA"/>
        </w:rPr>
        <w:tab/>
      </w:r>
      <w:r w:rsidRPr="00BE1C8B">
        <w:rPr>
          <w:rFonts w:ascii="Arial" w:hAnsi="Arial" w:cs="Arial"/>
          <w:lang w:val="en-ZA"/>
        </w:rPr>
        <w:tab/>
      </w:r>
      <w:r w:rsidRPr="00BE1C8B">
        <w:rPr>
          <w:rFonts w:ascii="Arial" w:hAnsi="Arial" w:cs="Arial"/>
          <w:lang w:val="en-ZA"/>
        </w:rPr>
        <w:tab/>
      </w:r>
      <w:r w:rsidRPr="00BE1C8B">
        <w:rPr>
          <w:rFonts w:ascii="Arial" w:hAnsi="Arial" w:cs="Arial"/>
          <w:lang w:val="en-ZA"/>
        </w:rPr>
        <w:tab/>
      </w:r>
      <w:r w:rsidRPr="00BE1C8B">
        <w:rPr>
          <w:rFonts w:ascii="Arial" w:hAnsi="Arial" w:cs="Arial"/>
          <w:lang w:val="en-ZA"/>
        </w:rPr>
        <w:tab/>
      </w:r>
      <w:r w:rsidRPr="00BE1C8B">
        <w:rPr>
          <w:rFonts w:ascii="Arial" w:hAnsi="Arial" w:cs="Arial"/>
          <w:lang w:val="en-ZA"/>
        </w:rPr>
        <w:tab/>
      </w:r>
    </w:p>
    <w:p w:rsidR="00BE1C8B" w:rsidRPr="00BE1C8B" w:rsidRDefault="00BE1C8B" w:rsidP="00BE1C8B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BE1C8B">
        <w:rPr>
          <w:rFonts w:ascii="Arial" w:hAnsi="Arial" w:cs="Arial"/>
          <w:b/>
          <w:lang w:val="en-ZA"/>
        </w:rPr>
        <w:t>NW3212E</w:t>
      </w:r>
    </w:p>
    <w:p w:rsidR="00012778" w:rsidRPr="00012778" w:rsidRDefault="00012778" w:rsidP="00012778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</w:p>
    <w:p w:rsidR="00B11029" w:rsidRDefault="00B11029" w:rsidP="007D5B13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</w:p>
    <w:p w:rsidR="00983C6B" w:rsidRDefault="009133DA" w:rsidP="00C33DD1">
      <w:pPr>
        <w:spacing w:line="360" w:lineRule="auto"/>
        <w:jc w:val="both"/>
        <w:rPr>
          <w:rFonts w:ascii="Arial" w:hAnsi="Arial" w:cs="Arial"/>
          <w:b/>
        </w:rPr>
      </w:pPr>
      <w:r w:rsidRPr="00880AAF">
        <w:rPr>
          <w:rFonts w:ascii="Arial" w:hAnsi="Arial" w:cs="Arial"/>
          <w:lang w:val="en-ZA"/>
        </w:rPr>
        <w:br w:type="page"/>
      </w:r>
      <w:r w:rsidR="0007655F" w:rsidRPr="00880AAF">
        <w:rPr>
          <w:rFonts w:ascii="Arial" w:hAnsi="Arial" w:cs="Arial"/>
          <w:b/>
        </w:rPr>
        <w:lastRenderedPageBreak/>
        <w:t>REPLY:</w:t>
      </w:r>
    </w:p>
    <w:p w:rsidR="00C33DD1" w:rsidRDefault="00C33DD1" w:rsidP="00C33DD1">
      <w:pPr>
        <w:spacing w:line="360" w:lineRule="auto"/>
        <w:jc w:val="both"/>
        <w:rPr>
          <w:rFonts w:ascii="Arial" w:hAnsi="Arial" w:cs="Arial"/>
          <w:b/>
        </w:rPr>
      </w:pPr>
    </w:p>
    <w:p w:rsidR="00975FA3" w:rsidRPr="00C33DD1" w:rsidRDefault="00975FA3" w:rsidP="00C33DD1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C33DD1">
        <w:rPr>
          <w:rFonts w:ascii="Arial" w:hAnsi="Arial" w:cs="Arial"/>
          <w:lang w:val="en-ZA"/>
        </w:rPr>
        <w:t xml:space="preserve"> </w:t>
      </w:r>
      <w:r w:rsidR="00C33DD1">
        <w:rPr>
          <w:rFonts w:ascii="Arial" w:hAnsi="Arial" w:cs="Arial"/>
          <w:lang w:val="en-ZA"/>
        </w:rPr>
        <w:t xml:space="preserve">I have been informed that the </w:t>
      </w:r>
      <w:r w:rsidRPr="00C33DD1">
        <w:rPr>
          <w:rFonts w:ascii="Arial" w:hAnsi="Arial" w:cs="Arial"/>
          <w:lang w:val="en-ZA"/>
        </w:rPr>
        <w:t>N</w:t>
      </w:r>
      <w:r w:rsidR="00C33DD1">
        <w:rPr>
          <w:rFonts w:ascii="Arial" w:hAnsi="Arial" w:cs="Arial"/>
          <w:lang w:val="en-ZA"/>
        </w:rPr>
        <w:t xml:space="preserve">ational </w:t>
      </w:r>
      <w:r w:rsidRPr="00C33DD1">
        <w:rPr>
          <w:rFonts w:ascii="Arial" w:hAnsi="Arial" w:cs="Arial"/>
          <w:lang w:val="en-ZA"/>
        </w:rPr>
        <w:t>P</w:t>
      </w:r>
      <w:r w:rsidR="00C33DD1">
        <w:rPr>
          <w:rFonts w:ascii="Arial" w:hAnsi="Arial" w:cs="Arial"/>
          <w:lang w:val="en-ZA"/>
        </w:rPr>
        <w:t xml:space="preserve">rosecuting </w:t>
      </w:r>
      <w:r w:rsidRPr="00C33DD1">
        <w:rPr>
          <w:rFonts w:ascii="Arial" w:hAnsi="Arial" w:cs="Arial"/>
          <w:lang w:val="en-ZA"/>
        </w:rPr>
        <w:t>A</w:t>
      </w:r>
      <w:r w:rsidR="00C33DD1">
        <w:rPr>
          <w:rFonts w:ascii="Arial" w:hAnsi="Arial" w:cs="Arial"/>
          <w:lang w:val="en-ZA"/>
        </w:rPr>
        <w:t>uthority (NPA)</w:t>
      </w:r>
      <w:r w:rsidRPr="00C33DD1">
        <w:rPr>
          <w:rFonts w:ascii="Arial" w:hAnsi="Arial" w:cs="Arial"/>
          <w:lang w:val="en-ZA"/>
        </w:rPr>
        <w:t xml:space="preserve"> has not yet concluded its </w:t>
      </w:r>
      <w:r w:rsidR="00C03ECA" w:rsidRPr="00C33DD1">
        <w:rPr>
          <w:rFonts w:ascii="Arial" w:hAnsi="Arial" w:cs="Arial"/>
          <w:lang w:val="en-ZA"/>
        </w:rPr>
        <w:t>re-</w:t>
      </w:r>
      <w:r w:rsidRPr="00C33DD1">
        <w:rPr>
          <w:rFonts w:ascii="Arial" w:hAnsi="Arial" w:cs="Arial"/>
          <w:lang w:val="en-ZA"/>
        </w:rPr>
        <w:t xml:space="preserve">assessment of </w:t>
      </w:r>
      <w:r w:rsidR="00492070" w:rsidRPr="00C33DD1">
        <w:rPr>
          <w:rFonts w:ascii="Arial" w:hAnsi="Arial" w:cs="Arial"/>
          <w:lang w:val="en-ZA"/>
        </w:rPr>
        <w:t xml:space="preserve">the </w:t>
      </w:r>
      <w:r w:rsidRPr="00C33DD1">
        <w:rPr>
          <w:rFonts w:ascii="Arial" w:hAnsi="Arial" w:cs="Arial"/>
          <w:lang w:val="en-ZA"/>
        </w:rPr>
        <w:t>T</w:t>
      </w:r>
      <w:r w:rsidR="00C03ECA" w:rsidRPr="00C33DD1">
        <w:rPr>
          <w:rFonts w:ascii="Arial" w:hAnsi="Arial" w:cs="Arial"/>
          <w:lang w:val="en-ZA"/>
        </w:rPr>
        <w:t>ruth and Reconciliation Commission</w:t>
      </w:r>
      <w:r w:rsidR="00C33DD1">
        <w:rPr>
          <w:rFonts w:ascii="Arial" w:hAnsi="Arial" w:cs="Arial"/>
          <w:lang w:val="en-ZA"/>
        </w:rPr>
        <w:t xml:space="preserve"> (TRC)</w:t>
      </w:r>
      <w:r w:rsidR="00C03ECA" w:rsidRPr="00C33DD1">
        <w:rPr>
          <w:rFonts w:ascii="Arial" w:hAnsi="Arial" w:cs="Arial"/>
          <w:lang w:val="en-ZA"/>
        </w:rPr>
        <w:t xml:space="preserve"> </w:t>
      </w:r>
      <w:r w:rsidRPr="00C33DD1">
        <w:rPr>
          <w:rFonts w:ascii="Arial" w:hAnsi="Arial" w:cs="Arial"/>
          <w:lang w:val="en-ZA"/>
        </w:rPr>
        <w:t xml:space="preserve">cases. </w:t>
      </w:r>
      <w:r w:rsidR="00492070" w:rsidRPr="00C33DD1">
        <w:rPr>
          <w:rFonts w:ascii="Arial" w:hAnsi="Arial" w:cs="Arial"/>
          <w:lang w:val="en-ZA"/>
        </w:rPr>
        <w:t xml:space="preserve">It is not possible to </w:t>
      </w:r>
      <w:r w:rsidRPr="00C33DD1">
        <w:rPr>
          <w:rFonts w:ascii="Arial" w:hAnsi="Arial" w:cs="Arial"/>
          <w:lang w:val="en-ZA"/>
        </w:rPr>
        <w:t xml:space="preserve">stipulate </w:t>
      </w:r>
      <w:r w:rsidR="00492070" w:rsidRPr="00C33DD1">
        <w:rPr>
          <w:rFonts w:ascii="Arial" w:hAnsi="Arial" w:cs="Arial"/>
          <w:lang w:val="en-ZA"/>
        </w:rPr>
        <w:t xml:space="preserve">a specific </w:t>
      </w:r>
      <w:r w:rsidRPr="00C33DD1">
        <w:rPr>
          <w:rFonts w:ascii="Arial" w:hAnsi="Arial" w:cs="Arial"/>
          <w:lang w:val="en-ZA"/>
        </w:rPr>
        <w:t xml:space="preserve">date </w:t>
      </w:r>
      <w:r w:rsidR="00492070" w:rsidRPr="00C33DD1">
        <w:rPr>
          <w:rFonts w:ascii="Arial" w:hAnsi="Arial" w:cs="Arial"/>
          <w:lang w:val="en-ZA"/>
        </w:rPr>
        <w:t xml:space="preserve">as it is </w:t>
      </w:r>
      <w:r w:rsidRPr="00C33DD1">
        <w:rPr>
          <w:rFonts w:ascii="Arial" w:hAnsi="Arial" w:cs="Arial"/>
          <w:lang w:val="en-ZA"/>
        </w:rPr>
        <w:t>an ongoing process</w:t>
      </w:r>
      <w:r w:rsidR="00E64D26" w:rsidRPr="00C33DD1">
        <w:rPr>
          <w:rFonts w:ascii="Arial" w:hAnsi="Arial" w:cs="Arial"/>
          <w:lang w:val="en-ZA"/>
        </w:rPr>
        <w:t xml:space="preserve">. </w:t>
      </w:r>
      <w:r w:rsidR="00C33DD1">
        <w:rPr>
          <w:rFonts w:ascii="Arial" w:hAnsi="Arial" w:cs="Arial"/>
          <w:lang w:val="en-ZA"/>
        </w:rPr>
        <w:t>However, e</w:t>
      </w:r>
      <w:r w:rsidR="00FB1399" w:rsidRPr="00C33DD1">
        <w:rPr>
          <w:rFonts w:ascii="Arial" w:hAnsi="Arial" w:cs="Arial"/>
          <w:lang w:val="en-ZA"/>
        </w:rPr>
        <w:t xml:space="preserve">fforts are made </w:t>
      </w:r>
      <w:r w:rsidR="007F0B91" w:rsidRPr="00C33DD1">
        <w:rPr>
          <w:rFonts w:ascii="Arial" w:hAnsi="Arial" w:cs="Arial"/>
          <w:lang w:val="en-ZA"/>
        </w:rPr>
        <w:t>to</w:t>
      </w:r>
      <w:r w:rsidR="00FB1399" w:rsidRPr="00C33DD1">
        <w:rPr>
          <w:rFonts w:ascii="Arial" w:hAnsi="Arial" w:cs="Arial"/>
          <w:lang w:val="en-ZA"/>
        </w:rPr>
        <w:t xml:space="preserve"> ensure that the matters </w:t>
      </w:r>
      <w:r w:rsidR="00E64D26" w:rsidRPr="00C33DD1">
        <w:rPr>
          <w:rFonts w:ascii="Arial" w:hAnsi="Arial" w:cs="Arial"/>
          <w:lang w:val="en-ZA"/>
        </w:rPr>
        <w:t>are</w:t>
      </w:r>
      <w:r w:rsidR="00FB1399" w:rsidRPr="00C33DD1">
        <w:rPr>
          <w:rFonts w:ascii="Arial" w:hAnsi="Arial" w:cs="Arial"/>
          <w:lang w:val="en-ZA"/>
        </w:rPr>
        <w:t xml:space="preserve"> referred as speedily as possible. </w:t>
      </w:r>
      <w:r w:rsidRPr="00C33DD1">
        <w:rPr>
          <w:rFonts w:ascii="Arial" w:hAnsi="Arial" w:cs="Arial"/>
          <w:lang w:val="en-ZA"/>
        </w:rPr>
        <w:t xml:space="preserve"> </w:t>
      </w:r>
    </w:p>
    <w:p w:rsidR="00975FA3" w:rsidRDefault="00FB1399" w:rsidP="00C33DD1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hundred and twenty-nine (</w:t>
      </w:r>
      <w:r w:rsidR="00E14521">
        <w:rPr>
          <w:rFonts w:ascii="Arial" w:hAnsi="Arial" w:cs="Arial"/>
          <w:lang w:val="en-ZA"/>
        </w:rPr>
        <w:t>129</w:t>
      </w:r>
      <w:r>
        <w:rPr>
          <w:rFonts w:ascii="Arial" w:hAnsi="Arial" w:cs="Arial"/>
          <w:lang w:val="en-ZA"/>
        </w:rPr>
        <w:t xml:space="preserve">) </w:t>
      </w:r>
      <w:r w:rsidR="00E64D26">
        <w:rPr>
          <w:rFonts w:ascii="Arial" w:hAnsi="Arial" w:cs="Arial"/>
          <w:lang w:val="en-ZA"/>
        </w:rPr>
        <w:t xml:space="preserve">investigations </w:t>
      </w:r>
      <w:r>
        <w:rPr>
          <w:rFonts w:ascii="Arial" w:hAnsi="Arial" w:cs="Arial"/>
          <w:lang w:val="en-ZA"/>
        </w:rPr>
        <w:t xml:space="preserve">referred to </w:t>
      </w:r>
      <w:r w:rsidR="00E14521">
        <w:rPr>
          <w:rFonts w:ascii="Arial" w:hAnsi="Arial" w:cs="Arial"/>
          <w:lang w:val="en-ZA"/>
        </w:rPr>
        <w:t>the D</w:t>
      </w:r>
      <w:r w:rsidR="00963446">
        <w:rPr>
          <w:rFonts w:ascii="Arial" w:hAnsi="Arial" w:cs="Arial"/>
          <w:lang w:val="en-ZA"/>
        </w:rPr>
        <w:t xml:space="preserve">irectorate for </w:t>
      </w:r>
      <w:r w:rsidR="00E14521">
        <w:rPr>
          <w:rFonts w:ascii="Arial" w:hAnsi="Arial" w:cs="Arial"/>
          <w:lang w:val="en-ZA"/>
        </w:rPr>
        <w:t>P</w:t>
      </w:r>
      <w:r w:rsidR="00963446">
        <w:rPr>
          <w:rFonts w:ascii="Arial" w:hAnsi="Arial" w:cs="Arial"/>
          <w:lang w:val="en-ZA"/>
        </w:rPr>
        <w:t xml:space="preserve">riority </w:t>
      </w:r>
      <w:r w:rsidR="00E14521">
        <w:rPr>
          <w:rFonts w:ascii="Arial" w:hAnsi="Arial" w:cs="Arial"/>
          <w:lang w:val="en-ZA"/>
        </w:rPr>
        <w:t>C</w:t>
      </w:r>
      <w:r w:rsidR="00963446">
        <w:rPr>
          <w:rFonts w:ascii="Arial" w:hAnsi="Arial" w:cs="Arial"/>
          <w:lang w:val="en-ZA"/>
        </w:rPr>
        <w:t>rime Investigations</w:t>
      </w:r>
      <w:r>
        <w:rPr>
          <w:rFonts w:ascii="Arial" w:hAnsi="Arial" w:cs="Arial"/>
          <w:lang w:val="en-ZA"/>
        </w:rPr>
        <w:t xml:space="preserve"> </w:t>
      </w:r>
      <w:r w:rsidR="00C33DD1">
        <w:rPr>
          <w:rFonts w:ascii="Arial" w:hAnsi="Arial" w:cs="Arial"/>
          <w:lang w:val="en-ZA"/>
        </w:rPr>
        <w:t xml:space="preserve">(DPCI) </w:t>
      </w:r>
      <w:r>
        <w:rPr>
          <w:rFonts w:ascii="Arial" w:hAnsi="Arial" w:cs="Arial"/>
          <w:lang w:val="en-ZA"/>
        </w:rPr>
        <w:t>are as follows:</w:t>
      </w:r>
      <w:r w:rsidR="00E14521">
        <w:rPr>
          <w:rFonts w:ascii="Arial" w:hAnsi="Arial" w:cs="Arial"/>
          <w:lang w:val="en-ZA"/>
        </w:rPr>
        <w:t xml:space="preserve"> </w:t>
      </w:r>
      <w:r w:rsidR="00DC3A0A">
        <w:rPr>
          <w:rFonts w:ascii="Arial" w:hAnsi="Arial" w:cs="Arial"/>
          <w:lang w:val="en-ZA"/>
        </w:rPr>
        <w:t xml:space="preserve"> </w:t>
      </w:r>
    </w:p>
    <w:p w:rsidR="00C33DD1" w:rsidRDefault="00C052E8" w:rsidP="00C33DD1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 xml:space="preserve">Prior to September 2021, a total of 59 TRC cases were under investigation by DPCI. These were overseen by </w:t>
      </w:r>
      <w:r w:rsidR="00C33DD1" w:rsidRPr="00C33DD1">
        <w:rPr>
          <w:rFonts w:ascii="Arial" w:hAnsi="Arial" w:cs="Arial"/>
          <w:color w:val="000000"/>
          <w:lang w:val="en-ZA"/>
        </w:rPr>
        <w:t xml:space="preserve">Priority Crimes Litigation Unit </w:t>
      </w:r>
      <w:r w:rsidR="00C33DD1">
        <w:rPr>
          <w:rFonts w:ascii="Arial" w:hAnsi="Arial" w:cs="Arial"/>
          <w:color w:val="000000"/>
          <w:lang w:val="en-ZA"/>
        </w:rPr>
        <w:t>(</w:t>
      </w:r>
      <w:r>
        <w:rPr>
          <w:rFonts w:ascii="Arial" w:hAnsi="Arial" w:cs="Arial"/>
          <w:color w:val="000000"/>
          <w:lang w:val="en-ZA"/>
        </w:rPr>
        <w:t>PCLU</w:t>
      </w:r>
      <w:r w:rsidR="00C33DD1">
        <w:rPr>
          <w:rFonts w:ascii="Arial" w:hAnsi="Arial" w:cs="Arial"/>
          <w:color w:val="000000"/>
          <w:lang w:val="en-ZA"/>
        </w:rPr>
        <w:t>)</w:t>
      </w:r>
      <w:r>
        <w:rPr>
          <w:rFonts w:ascii="Arial" w:hAnsi="Arial" w:cs="Arial"/>
          <w:color w:val="000000"/>
          <w:lang w:val="en-ZA"/>
        </w:rPr>
        <w:t xml:space="preserve"> until the matters were migrated to the respective provinces in April 2019. </w:t>
      </w:r>
    </w:p>
    <w:p w:rsidR="00C052E8" w:rsidRPr="00C33DD1" w:rsidRDefault="00C052E8" w:rsidP="00C33DD1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en-ZA"/>
        </w:rPr>
      </w:pPr>
      <w:r w:rsidRPr="00C33DD1">
        <w:rPr>
          <w:rFonts w:ascii="Arial" w:hAnsi="Arial" w:cs="Arial"/>
          <w:color w:val="000000"/>
          <w:lang w:val="en-ZA"/>
        </w:rPr>
        <w:t xml:space="preserve">A further 55 cases were identified for re-opening by the PCLU. These pertain to the deaths in detention, where detainees who were detained for contravention of </w:t>
      </w:r>
      <w:r w:rsidR="00E64D26" w:rsidRPr="00C33DD1">
        <w:rPr>
          <w:rFonts w:ascii="Arial" w:hAnsi="Arial" w:cs="Arial"/>
          <w:color w:val="000000"/>
          <w:lang w:val="en-ZA"/>
        </w:rPr>
        <w:t>s</w:t>
      </w:r>
      <w:r w:rsidRPr="00C33DD1">
        <w:rPr>
          <w:rFonts w:ascii="Arial" w:hAnsi="Arial" w:cs="Arial"/>
          <w:color w:val="000000"/>
          <w:lang w:val="en-ZA"/>
        </w:rPr>
        <w:t>ecurity legislation</w:t>
      </w:r>
      <w:r w:rsidR="00E066FF" w:rsidRPr="00C33DD1">
        <w:rPr>
          <w:rFonts w:ascii="Arial" w:hAnsi="Arial" w:cs="Arial"/>
          <w:color w:val="000000"/>
          <w:lang w:val="en-ZA"/>
        </w:rPr>
        <w:t xml:space="preserve"> or </w:t>
      </w:r>
      <w:r w:rsidRPr="00C33DD1">
        <w:rPr>
          <w:rFonts w:ascii="Arial" w:hAnsi="Arial" w:cs="Arial"/>
          <w:color w:val="000000"/>
          <w:lang w:val="en-ZA"/>
        </w:rPr>
        <w:t>died under circumstances which necessitated further investigation. Some investigations also pertain to deaths w</w:t>
      </w:r>
      <w:r w:rsidR="00E64D26" w:rsidRPr="00C33DD1">
        <w:rPr>
          <w:rFonts w:ascii="Arial" w:hAnsi="Arial" w:cs="Arial"/>
          <w:color w:val="000000"/>
          <w:lang w:val="en-ZA"/>
        </w:rPr>
        <w:t>h</w:t>
      </w:r>
      <w:r w:rsidRPr="00C33DD1">
        <w:rPr>
          <w:rFonts w:ascii="Arial" w:hAnsi="Arial" w:cs="Arial"/>
          <w:color w:val="000000"/>
          <w:lang w:val="en-ZA"/>
        </w:rPr>
        <w:t xml:space="preserve">ere the deceased died in alleged confrontations with the police.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820"/>
      </w:tblGrid>
      <w:tr w:rsidR="00DC775B" w:rsidTr="00C33DD1">
        <w:tc>
          <w:tcPr>
            <w:tcW w:w="4252" w:type="dxa"/>
            <w:shd w:val="clear" w:color="auto" w:fill="auto"/>
            <w:vAlign w:val="center"/>
          </w:tcPr>
          <w:p w:rsidR="00E066FF" w:rsidRPr="00C33DD1" w:rsidRDefault="00C33DD1" w:rsidP="00C33DD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en-ZA"/>
              </w:rPr>
            </w:pPr>
            <w:r w:rsidRPr="00C33DD1">
              <w:rPr>
                <w:rFonts w:ascii="Arial" w:hAnsi="Arial" w:cs="Arial"/>
                <w:b/>
                <w:color w:val="000000"/>
                <w:lang w:val="en-ZA"/>
              </w:rPr>
              <w:t>Division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66FF" w:rsidRPr="00C33DD1" w:rsidRDefault="00C33DD1" w:rsidP="00C33DD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en-ZA"/>
              </w:rPr>
            </w:pPr>
            <w:r w:rsidRPr="00C33DD1">
              <w:rPr>
                <w:rFonts w:ascii="Arial" w:hAnsi="Arial" w:cs="Arial"/>
                <w:b/>
                <w:color w:val="000000"/>
                <w:lang w:val="en-ZA"/>
              </w:rPr>
              <w:t xml:space="preserve">Number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>o</w:t>
            </w:r>
            <w:r w:rsidRPr="00C33DD1">
              <w:rPr>
                <w:rFonts w:ascii="Arial" w:hAnsi="Arial" w:cs="Arial"/>
                <w:b/>
                <w:color w:val="000000"/>
                <w:lang w:val="en-ZA"/>
              </w:rPr>
              <w:t xml:space="preserve">f Matters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>u</w:t>
            </w:r>
            <w:r w:rsidRPr="00C33DD1">
              <w:rPr>
                <w:rFonts w:ascii="Arial" w:hAnsi="Arial" w:cs="Arial"/>
                <w:b/>
                <w:color w:val="000000"/>
                <w:lang w:val="en-ZA"/>
              </w:rPr>
              <w:t>nder Investigation</w:t>
            </w:r>
          </w:p>
        </w:tc>
      </w:tr>
      <w:tr w:rsidR="00DC775B" w:rsidTr="00C33DD1">
        <w:tc>
          <w:tcPr>
            <w:tcW w:w="4252" w:type="dxa"/>
            <w:shd w:val="clear" w:color="auto" w:fill="auto"/>
          </w:tcPr>
          <w:p w:rsidR="00E066FF" w:rsidRDefault="00C33DD1" w:rsidP="00C33DD1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Western Cape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66FF" w:rsidRDefault="00C33DD1" w:rsidP="00C33DD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9</w:t>
            </w:r>
          </w:p>
        </w:tc>
      </w:tr>
      <w:tr w:rsidR="00DC775B" w:rsidTr="00C33DD1">
        <w:tc>
          <w:tcPr>
            <w:tcW w:w="4252" w:type="dxa"/>
            <w:shd w:val="clear" w:color="auto" w:fill="auto"/>
          </w:tcPr>
          <w:p w:rsidR="00E066FF" w:rsidRDefault="00C33DD1" w:rsidP="00C33DD1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Free State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66FF" w:rsidRDefault="00C33DD1" w:rsidP="00C33DD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2</w:t>
            </w:r>
          </w:p>
        </w:tc>
      </w:tr>
      <w:tr w:rsidR="00DC775B" w:rsidTr="00C33DD1">
        <w:tc>
          <w:tcPr>
            <w:tcW w:w="4252" w:type="dxa"/>
            <w:shd w:val="clear" w:color="auto" w:fill="auto"/>
          </w:tcPr>
          <w:p w:rsidR="00E066FF" w:rsidRDefault="00C33DD1" w:rsidP="00C33DD1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Mthatha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66FF" w:rsidRDefault="00C33DD1" w:rsidP="00C33DD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10</w:t>
            </w:r>
          </w:p>
        </w:tc>
      </w:tr>
      <w:tr w:rsidR="00DC775B" w:rsidTr="00C33DD1">
        <w:tc>
          <w:tcPr>
            <w:tcW w:w="4252" w:type="dxa"/>
            <w:shd w:val="clear" w:color="auto" w:fill="auto"/>
          </w:tcPr>
          <w:p w:rsidR="00E066FF" w:rsidRDefault="00C33DD1" w:rsidP="00C33DD1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Eastern Cape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66FF" w:rsidRDefault="00C33DD1" w:rsidP="00C33DD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13</w:t>
            </w:r>
          </w:p>
        </w:tc>
      </w:tr>
      <w:tr w:rsidR="00DC775B" w:rsidTr="00C33DD1">
        <w:tc>
          <w:tcPr>
            <w:tcW w:w="4252" w:type="dxa"/>
            <w:shd w:val="clear" w:color="auto" w:fill="auto"/>
          </w:tcPr>
          <w:p w:rsidR="00E066FF" w:rsidRDefault="00C33DD1" w:rsidP="00C33DD1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North West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66FF" w:rsidRDefault="00C33DD1" w:rsidP="00C33DD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5</w:t>
            </w:r>
          </w:p>
        </w:tc>
      </w:tr>
      <w:tr w:rsidR="00DC775B" w:rsidTr="00C33DD1">
        <w:tc>
          <w:tcPr>
            <w:tcW w:w="4252" w:type="dxa"/>
            <w:shd w:val="clear" w:color="auto" w:fill="auto"/>
          </w:tcPr>
          <w:p w:rsidR="00E066FF" w:rsidRDefault="00C33DD1" w:rsidP="00C33DD1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Kwazulu-Natal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66FF" w:rsidRDefault="00C33DD1" w:rsidP="00C33DD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29</w:t>
            </w:r>
          </w:p>
        </w:tc>
      </w:tr>
      <w:tr w:rsidR="00DC775B" w:rsidTr="00C33DD1">
        <w:tc>
          <w:tcPr>
            <w:tcW w:w="4252" w:type="dxa"/>
            <w:shd w:val="clear" w:color="auto" w:fill="auto"/>
          </w:tcPr>
          <w:p w:rsidR="00E066FF" w:rsidRDefault="00C33DD1" w:rsidP="00C33DD1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Mpumalanga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66FF" w:rsidRDefault="00C33DD1" w:rsidP="00C33DD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4</w:t>
            </w:r>
          </w:p>
        </w:tc>
      </w:tr>
      <w:tr w:rsidR="00DC775B" w:rsidTr="00C33DD1">
        <w:tc>
          <w:tcPr>
            <w:tcW w:w="4252" w:type="dxa"/>
            <w:shd w:val="clear" w:color="auto" w:fill="auto"/>
          </w:tcPr>
          <w:p w:rsidR="00E066FF" w:rsidRDefault="00C33DD1" w:rsidP="00C33DD1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Northern Cape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66FF" w:rsidRDefault="00C33DD1" w:rsidP="00C33DD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3</w:t>
            </w:r>
          </w:p>
        </w:tc>
      </w:tr>
      <w:tr w:rsidR="00DC775B" w:rsidTr="00C33DD1">
        <w:tc>
          <w:tcPr>
            <w:tcW w:w="4252" w:type="dxa"/>
            <w:shd w:val="clear" w:color="auto" w:fill="auto"/>
          </w:tcPr>
          <w:p w:rsidR="00E066FF" w:rsidRDefault="00C33DD1" w:rsidP="00C33DD1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Johannesburg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66FF" w:rsidRDefault="00C33DD1" w:rsidP="00C33DD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25</w:t>
            </w:r>
          </w:p>
        </w:tc>
      </w:tr>
      <w:tr w:rsidR="00DC775B" w:rsidTr="00C33DD1">
        <w:tc>
          <w:tcPr>
            <w:tcW w:w="4252" w:type="dxa"/>
            <w:shd w:val="clear" w:color="auto" w:fill="auto"/>
          </w:tcPr>
          <w:p w:rsidR="00E066FF" w:rsidRDefault="00C33DD1" w:rsidP="00C33DD1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Pretoria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66FF" w:rsidRDefault="00C33DD1" w:rsidP="00C33DD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11</w:t>
            </w:r>
          </w:p>
        </w:tc>
      </w:tr>
      <w:tr w:rsidR="00E066FF" w:rsidTr="00C33DD1">
        <w:tc>
          <w:tcPr>
            <w:tcW w:w="4252" w:type="dxa"/>
            <w:shd w:val="clear" w:color="auto" w:fill="auto"/>
          </w:tcPr>
          <w:p w:rsidR="00E066FF" w:rsidRDefault="00C33DD1" w:rsidP="00C33DD1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Limpopo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66FF" w:rsidRDefault="00C33DD1" w:rsidP="00C33DD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10</w:t>
            </w:r>
          </w:p>
        </w:tc>
      </w:tr>
    </w:tbl>
    <w:p w:rsidR="00E066FF" w:rsidRDefault="00E066FF" w:rsidP="00C33DD1">
      <w:pPr>
        <w:spacing w:line="360" w:lineRule="auto"/>
        <w:ind w:left="720"/>
        <w:jc w:val="both"/>
        <w:rPr>
          <w:rFonts w:ascii="Arial" w:hAnsi="Arial" w:cs="Arial"/>
          <w:color w:val="000000"/>
          <w:lang w:val="en-ZA"/>
        </w:rPr>
      </w:pPr>
    </w:p>
    <w:p w:rsidR="00C052E8" w:rsidRPr="00C33DD1" w:rsidRDefault="00C052E8" w:rsidP="00C33DD1">
      <w:pPr>
        <w:spacing w:before="120" w:after="120" w:line="360" w:lineRule="auto"/>
        <w:ind w:left="360"/>
        <w:jc w:val="both"/>
        <w:rPr>
          <w:rFonts w:ascii="Arial" w:hAnsi="Arial" w:cs="Arial"/>
          <w:lang w:val="en-ZA"/>
        </w:rPr>
      </w:pPr>
      <w:r w:rsidRPr="00C33DD1">
        <w:rPr>
          <w:rFonts w:ascii="Arial" w:hAnsi="Arial" w:cs="Arial"/>
          <w:lang w:val="en-ZA"/>
        </w:rPr>
        <w:t xml:space="preserve">We are in possession of a list of matters under investigation. However, it must be </w:t>
      </w:r>
      <w:r w:rsidR="00C33DD1">
        <w:rPr>
          <w:rFonts w:ascii="Arial" w:hAnsi="Arial" w:cs="Arial"/>
          <w:lang w:val="en-ZA"/>
        </w:rPr>
        <w:t>emphasized</w:t>
      </w:r>
      <w:r w:rsidRPr="00C33DD1">
        <w:rPr>
          <w:rFonts w:ascii="Arial" w:hAnsi="Arial" w:cs="Arial"/>
          <w:lang w:val="en-ZA"/>
        </w:rPr>
        <w:t xml:space="preserve"> that this information is confidential</w:t>
      </w:r>
      <w:r w:rsidR="00C33DD1">
        <w:rPr>
          <w:rFonts w:ascii="Arial" w:hAnsi="Arial" w:cs="Arial"/>
          <w:lang w:val="en-ZA"/>
        </w:rPr>
        <w:t>,</w:t>
      </w:r>
      <w:r w:rsidR="00E64D26" w:rsidRPr="00C33DD1">
        <w:rPr>
          <w:rFonts w:ascii="Arial" w:hAnsi="Arial" w:cs="Arial"/>
          <w:lang w:val="en-ZA"/>
        </w:rPr>
        <w:t xml:space="preserve"> and the risk </w:t>
      </w:r>
      <w:r w:rsidR="00C33DD1">
        <w:rPr>
          <w:rFonts w:ascii="Arial" w:hAnsi="Arial" w:cs="Arial"/>
          <w:lang w:val="en-ZA"/>
        </w:rPr>
        <w:t>in the release of this</w:t>
      </w:r>
      <w:r w:rsidR="00E64D26" w:rsidRPr="00C33DD1">
        <w:rPr>
          <w:rFonts w:ascii="Arial" w:hAnsi="Arial" w:cs="Arial"/>
          <w:lang w:val="en-ZA"/>
        </w:rPr>
        <w:t xml:space="preserve"> </w:t>
      </w:r>
      <w:r w:rsidRPr="00C33DD1">
        <w:rPr>
          <w:rFonts w:ascii="Arial" w:hAnsi="Arial" w:cs="Arial"/>
          <w:lang w:val="en-ZA"/>
        </w:rPr>
        <w:t xml:space="preserve">information is </w:t>
      </w:r>
      <w:r w:rsidR="00C33DD1">
        <w:rPr>
          <w:rFonts w:ascii="Arial" w:hAnsi="Arial" w:cs="Arial"/>
          <w:lang w:val="en-ZA"/>
        </w:rPr>
        <w:t>that it</w:t>
      </w:r>
      <w:r w:rsidRPr="00C33DD1">
        <w:rPr>
          <w:rFonts w:ascii="Arial" w:hAnsi="Arial" w:cs="Arial"/>
          <w:lang w:val="en-ZA"/>
        </w:rPr>
        <w:t xml:space="preserve"> might compromise further investigation</w:t>
      </w:r>
      <w:r w:rsidR="00373822" w:rsidRPr="00C33DD1">
        <w:rPr>
          <w:rFonts w:ascii="Arial" w:hAnsi="Arial" w:cs="Arial"/>
          <w:lang w:val="en-ZA"/>
        </w:rPr>
        <w:t xml:space="preserve">s. </w:t>
      </w:r>
      <w:r w:rsidR="00F9310E" w:rsidRPr="00C33DD1">
        <w:rPr>
          <w:rFonts w:ascii="Arial" w:hAnsi="Arial" w:cs="Arial"/>
          <w:lang w:val="en-ZA"/>
        </w:rPr>
        <w:t>This creates challenges for investigators and prosecutors alike</w:t>
      </w:r>
      <w:r w:rsidR="00E64D26" w:rsidRPr="00C33DD1">
        <w:rPr>
          <w:rFonts w:ascii="Arial" w:hAnsi="Arial" w:cs="Arial"/>
          <w:lang w:val="en-ZA"/>
        </w:rPr>
        <w:t>,</w:t>
      </w:r>
      <w:r w:rsidR="00F9310E" w:rsidRPr="00C33DD1">
        <w:rPr>
          <w:rFonts w:ascii="Arial" w:hAnsi="Arial" w:cs="Arial"/>
          <w:lang w:val="en-ZA"/>
        </w:rPr>
        <w:t xml:space="preserve"> once suspects/witnesses/persons of interest are made aware of matters under investigation. </w:t>
      </w:r>
    </w:p>
    <w:p w:rsidR="00F9310E" w:rsidRDefault="00F9310E" w:rsidP="00C33DD1">
      <w:pPr>
        <w:spacing w:line="360" w:lineRule="auto"/>
        <w:ind w:left="720"/>
        <w:jc w:val="both"/>
        <w:rPr>
          <w:rFonts w:ascii="Arial" w:hAnsi="Arial" w:cs="Arial"/>
          <w:color w:val="000000"/>
          <w:lang w:val="en-ZA"/>
        </w:rPr>
      </w:pPr>
    </w:p>
    <w:p w:rsidR="00975FA3" w:rsidRPr="00C33DD1" w:rsidRDefault="00373822" w:rsidP="00C33DD1">
      <w:pPr>
        <w:spacing w:before="120" w:after="120" w:line="360" w:lineRule="auto"/>
        <w:ind w:left="360"/>
        <w:jc w:val="both"/>
        <w:rPr>
          <w:rFonts w:ascii="Arial" w:hAnsi="Arial" w:cs="Arial"/>
          <w:lang w:val="en-ZA"/>
        </w:rPr>
      </w:pPr>
      <w:r w:rsidRPr="00C33DD1">
        <w:rPr>
          <w:rFonts w:ascii="Arial" w:hAnsi="Arial" w:cs="Arial"/>
          <w:lang w:val="en-ZA"/>
        </w:rPr>
        <w:t>On 20 June 2022, the N</w:t>
      </w:r>
      <w:r w:rsidR="00DA5C03">
        <w:rPr>
          <w:rFonts w:ascii="Arial" w:hAnsi="Arial" w:cs="Arial"/>
          <w:lang w:val="en-ZA"/>
        </w:rPr>
        <w:t xml:space="preserve">ational </w:t>
      </w:r>
      <w:r w:rsidRPr="00C33DD1">
        <w:rPr>
          <w:rFonts w:ascii="Arial" w:hAnsi="Arial" w:cs="Arial"/>
          <w:lang w:val="en-ZA"/>
        </w:rPr>
        <w:t>D</w:t>
      </w:r>
      <w:r w:rsidR="00DA5C03">
        <w:rPr>
          <w:rFonts w:ascii="Arial" w:hAnsi="Arial" w:cs="Arial"/>
          <w:lang w:val="en-ZA"/>
        </w:rPr>
        <w:t xml:space="preserve">irector of </w:t>
      </w:r>
      <w:r w:rsidRPr="00C33DD1">
        <w:rPr>
          <w:rFonts w:ascii="Arial" w:hAnsi="Arial" w:cs="Arial"/>
          <w:lang w:val="en-ZA"/>
        </w:rPr>
        <w:t>P</w:t>
      </w:r>
      <w:r w:rsidR="00DA5C03">
        <w:rPr>
          <w:rFonts w:ascii="Arial" w:hAnsi="Arial" w:cs="Arial"/>
          <w:lang w:val="en-ZA"/>
        </w:rPr>
        <w:t xml:space="preserve">ublic </w:t>
      </w:r>
      <w:r w:rsidRPr="00C33DD1">
        <w:rPr>
          <w:rFonts w:ascii="Arial" w:hAnsi="Arial" w:cs="Arial"/>
          <w:lang w:val="en-ZA"/>
        </w:rPr>
        <w:t>P</w:t>
      </w:r>
      <w:r w:rsidR="00DA5C03">
        <w:rPr>
          <w:rFonts w:ascii="Arial" w:hAnsi="Arial" w:cs="Arial"/>
          <w:lang w:val="en-ZA"/>
        </w:rPr>
        <w:t>rosecutions</w:t>
      </w:r>
      <w:r w:rsidR="00F9310E" w:rsidRPr="00C33DD1">
        <w:rPr>
          <w:rFonts w:ascii="Arial" w:hAnsi="Arial" w:cs="Arial"/>
          <w:lang w:val="en-ZA"/>
        </w:rPr>
        <w:t xml:space="preserve"> </w:t>
      </w:r>
      <w:r w:rsidRPr="00C33DD1">
        <w:rPr>
          <w:rFonts w:ascii="Arial" w:hAnsi="Arial" w:cs="Arial"/>
          <w:lang w:val="en-ZA"/>
        </w:rPr>
        <w:t>directed</w:t>
      </w:r>
      <w:r w:rsidR="00DA5C03">
        <w:rPr>
          <w:rFonts w:ascii="Arial" w:hAnsi="Arial" w:cs="Arial"/>
          <w:lang w:val="en-ZA"/>
        </w:rPr>
        <w:t>,</w:t>
      </w:r>
      <w:r w:rsidRPr="00C33DD1">
        <w:rPr>
          <w:rFonts w:ascii="Arial" w:hAnsi="Arial" w:cs="Arial"/>
          <w:lang w:val="en-ZA"/>
        </w:rPr>
        <w:t xml:space="preserve"> through an internal memorandum</w:t>
      </w:r>
      <w:r w:rsidR="00F9310E" w:rsidRPr="00C33DD1">
        <w:rPr>
          <w:rFonts w:ascii="Arial" w:hAnsi="Arial" w:cs="Arial"/>
          <w:lang w:val="en-ZA"/>
        </w:rPr>
        <w:t xml:space="preserve"> which was circulated to all the divisions, </w:t>
      </w:r>
      <w:r w:rsidRPr="00C33DD1">
        <w:rPr>
          <w:rFonts w:ascii="Arial" w:hAnsi="Arial" w:cs="Arial"/>
          <w:lang w:val="en-ZA"/>
        </w:rPr>
        <w:t xml:space="preserve">that in all </w:t>
      </w:r>
      <w:r w:rsidR="00F9310E" w:rsidRPr="00C33DD1">
        <w:rPr>
          <w:rFonts w:ascii="Arial" w:hAnsi="Arial" w:cs="Arial"/>
          <w:lang w:val="en-ZA"/>
        </w:rPr>
        <w:t xml:space="preserve">TRC </w:t>
      </w:r>
      <w:r w:rsidRPr="00C33DD1">
        <w:rPr>
          <w:rFonts w:ascii="Arial" w:hAnsi="Arial" w:cs="Arial"/>
          <w:lang w:val="en-ZA"/>
        </w:rPr>
        <w:t>matters that are under investigation, dedicated prosecutors</w:t>
      </w:r>
      <w:r w:rsidR="00F9310E" w:rsidRPr="00C33DD1">
        <w:rPr>
          <w:rFonts w:ascii="Arial" w:hAnsi="Arial" w:cs="Arial"/>
          <w:lang w:val="en-ZA"/>
        </w:rPr>
        <w:t xml:space="preserve"> must </w:t>
      </w:r>
      <w:r w:rsidRPr="00C33DD1">
        <w:rPr>
          <w:rFonts w:ascii="Arial" w:hAnsi="Arial" w:cs="Arial"/>
          <w:lang w:val="en-ZA"/>
        </w:rPr>
        <w:t>ensure that contact with the families</w:t>
      </w:r>
      <w:r w:rsidR="00DA5C03" w:rsidRPr="00DA5C03">
        <w:rPr>
          <w:rFonts w:ascii="Arial" w:hAnsi="Arial" w:cs="Arial"/>
          <w:lang w:val="en-ZA"/>
        </w:rPr>
        <w:t xml:space="preserve"> </w:t>
      </w:r>
      <w:r w:rsidR="00DA5C03" w:rsidRPr="00C33DD1">
        <w:rPr>
          <w:rFonts w:ascii="Arial" w:hAnsi="Arial" w:cs="Arial"/>
          <w:lang w:val="en-ZA"/>
        </w:rPr>
        <w:t>is made</w:t>
      </w:r>
      <w:r w:rsidR="00F9310E" w:rsidRPr="00C33DD1">
        <w:rPr>
          <w:rFonts w:ascii="Arial" w:hAnsi="Arial" w:cs="Arial"/>
          <w:lang w:val="en-ZA"/>
        </w:rPr>
        <w:t xml:space="preserve">. It was </w:t>
      </w:r>
      <w:r w:rsidR="00DA5C03">
        <w:rPr>
          <w:rFonts w:ascii="Arial" w:hAnsi="Arial" w:cs="Arial"/>
          <w:lang w:val="en-ZA"/>
        </w:rPr>
        <w:t>also emphasised</w:t>
      </w:r>
      <w:r w:rsidR="00F9310E" w:rsidRPr="00C33DD1">
        <w:rPr>
          <w:rFonts w:ascii="Arial" w:hAnsi="Arial" w:cs="Arial"/>
          <w:lang w:val="en-ZA"/>
        </w:rPr>
        <w:t xml:space="preserve"> that families</w:t>
      </w:r>
      <w:r w:rsidR="00E64D26" w:rsidRPr="00C33DD1">
        <w:rPr>
          <w:rFonts w:ascii="Arial" w:hAnsi="Arial" w:cs="Arial"/>
          <w:lang w:val="en-ZA"/>
        </w:rPr>
        <w:t xml:space="preserve"> must</w:t>
      </w:r>
      <w:r w:rsidR="00F9310E" w:rsidRPr="00C33DD1">
        <w:rPr>
          <w:rFonts w:ascii="Arial" w:hAnsi="Arial" w:cs="Arial"/>
          <w:lang w:val="en-ZA"/>
        </w:rPr>
        <w:t xml:space="preserve"> be updated regularly on the progress made in their matters. It was also directed that a name list of all families together with their contact numbers be obtained. This name list was also forwarded to the office </w:t>
      </w:r>
      <w:r w:rsidR="009930C7" w:rsidRPr="00C33DD1">
        <w:rPr>
          <w:rFonts w:ascii="Arial" w:hAnsi="Arial" w:cs="Arial"/>
          <w:lang w:val="en-ZA"/>
        </w:rPr>
        <w:t>of the D</w:t>
      </w:r>
      <w:r w:rsidR="00DA5C03">
        <w:rPr>
          <w:rFonts w:ascii="Arial" w:hAnsi="Arial" w:cs="Arial"/>
          <w:lang w:val="en-ZA"/>
        </w:rPr>
        <w:t xml:space="preserve">eputy </w:t>
      </w:r>
      <w:r w:rsidR="009930C7" w:rsidRPr="00C33DD1">
        <w:rPr>
          <w:rFonts w:ascii="Arial" w:hAnsi="Arial" w:cs="Arial"/>
          <w:lang w:val="en-ZA"/>
        </w:rPr>
        <w:t>N</w:t>
      </w:r>
      <w:r w:rsidR="00DA5C03">
        <w:rPr>
          <w:rFonts w:ascii="Arial" w:hAnsi="Arial" w:cs="Arial"/>
          <w:lang w:val="en-ZA"/>
        </w:rPr>
        <w:t xml:space="preserve">ational </w:t>
      </w:r>
      <w:r w:rsidR="009930C7" w:rsidRPr="00C33DD1">
        <w:rPr>
          <w:rFonts w:ascii="Arial" w:hAnsi="Arial" w:cs="Arial"/>
          <w:lang w:val="en-ZA"/>
        </w:rPr>
        <w:t>D</w:t>
      </w:r>
      <w:r w:rsidR="00DA5C03">
        <w:rPr>
          <w:rFonts w:ascii="Arial" w:hAnsi="Arial" w:cs="Arial"/>
          <w:lang w:val="en-ZA"/>
        </w:rPr>
        <w:t xml:space="preserve">irector of </w:t>
      </w:r>
      <w:r w:rsidR="009930C7" w:rsidRPr="00C33DD1">
        <w:rPr>
          <w:rFonts w:ascii="Arial" w:hAnsi="Arial" w:cs="Arial"/>
          <w:lang w:val="en-ZA"/>
        </w:rPr>
        <w:t>P</w:t>
      </w:r>
      <w:r w:rsidR="00DA5C03">
        <w:rPr>
          <w:rFonts w:ascii="Arial" w:hAnsi="Arial" w:cs="Arial"/>
          <w:lang w:val="en-ZA"/>
        </w:rPr>
        <w:t xml:space="preserve">ublic </w:t>
      </w:r>
      <w:r w:rsidR="009930C7" w:rsidRPr="00C33DD1">
        <w:rPr>
          <w:rFonts w:ascii="Arial" w:hAnsi="Arial" w:cs="Arial"/>
          <w:lang w:val="en-ZA"/>
        </w:rPr>
        <w:t>P</w:t>
      </w:r>
      <w:r w:rsidR="00DA5C03">
        <w:rPr>
          <w:rFonts w:ascii="Arial" w:hAnsi="Arial" w:cs="Arial"/>
          <w:lang w:val="en-ZA"/>
        </w:rPr>
        <w:t>rosecutions</w:t>
      </w:r>
      <w:r w:rsidR="009930C7" w:rsidRPr="00C33DD1">
        <w:rPr>
          <w:rFonts w:ascii="Arial" w:hAnsi="Arial" w:cs="Arial"/>
          <w:lang w:val="en-ZA"/>
        </w:rPr>
        <w:t xml:space="preserve">. Prosecutors were encouraged to engage actively with families </w:t>
      </w:r>
      <w:r w:rsidR="00DA5C03">
        <w:rPr>
          <w:rFonts w:ascii="Arial" w:hAnsi="Arial" w:cs="Arial"/>
          <w:lang w:val="en-ZA"/>
        </w:rPr>
        <w:t>to</w:t>
      </w:r>
      <w:r w:rsidR="009930C7" w:rsidRPr="00C33DD1">
        <w:rPr>
          <w:rFonts w:ascii="Arial" w:hAnsi="Arial" w:cs="Arial"/>
          <w:lang w:val="en-ZA"/>
        </w:rPr>
        <w:t xml:space="preserve"> ensure that a more victim</w:t>
      </w:r>
      <w:r w:rsidR="00DA5C03">
        <w:rPr>
          <w:rFonts w:ascii="Arial" w:hAnsi="Arial" w:cs="Arial"/>
          <w:lang w:val="en-ZA"/>
        </w:rPr>
        <w:t>-</w:t>
      </w:r>
      <w:r w:rsidR="009930C7" w:rsidRPr="00C33DD1">
        <w:rPr>
          <w:rFonts w:ascii="Arial" w:hAnsi="Arial" w:cs="Arial"/>
          <w:lang w:val="en-ZA"/>
        </w:rPr>
        <w:t xml:space="preserve">centred approach </w:t>
      </w:r>
      <w:r w:rsidR="00DA5C03">
        <w:rPr>
          <w:rFonts w:ascii="Arial" w:hAnsi="Arial" w:cs="Arial"/>
          <w:lang w:val="en-ZA"/>
        </w:rPr>
        <w:t>is</w:t>
      </w:r>
      <w:r w:rsidR="009930C7" w:rsidRPr="00C33DD1">
        <w:rPr>
          <w:rFonts w:ascii="Arial" w:hAnsi="Arial" w:cs="Arial"/>
          <w:lang w:val="en-ZA"/>
        </w:rPr>
        <w:t xml:space="preserve"> followed. </w:t>
      </w:r>
    </w:p>
    <w:p w:rsidR="00983C6B" w:rsidRDefault="008716C9" w:rsidP="00C33DD1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END </w:t>
      </w:r>
    </w:p>
    <w:sectPr w:rsidR="00983C6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4F" w:rsidRDefault="00DB2E4F" w:rsidP="00913892">
      <w:r>
        <w:separator/>
      </w:r>
    </w:p>
  </w:endnote>
  <w:endnote w:type="continuationSeparator" w:id="0">
    <w:p w:rsidR="00DB2E4F" w:rsidRDefault="00DB2E4F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DB2E4F" w:rsidRPr="00DB2E4F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4F" w:rsidRDefault="00DB2E4F" w:rsidP="00913892">
      <w:r>
        <w:separator/>
      </w:r>
    </w:p>
  </w:footnote>
  <w:footnote w:type="continuationSeparator" w:id="0">
    <w:p w:rsidR="00DB2E4F" w:rsidRDefault="00DB2E4F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052"/>
    <w:multiLevelType w:val="hybridMultilevel"/>
    <w:tmpl w:val="46E2C212"/>
    <w:lvl w:ilvl="0" w:tplc="825698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4DCE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A6560"/>
    <w:multiLevelType w:val="hybridMultilevel"/>
    <w:tmpl w:val="D1124202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C67D7"/>
    <w:multiLevelType w:val="hybridMultilevel"/>
    <w:tmpl w:val="31BA04BC"/>
    <w:lvl w:ilvl="0" w:tplc="688C5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8"/>
  </w:num>
  <w:num w:numId="5">
    <w:abstractNumId w:val="2"/>
  </w:num>
  <w:num w:numId="6">
    <w:abstractNumId w:val="16"/>
  </w:num>
  <w:num w:numId="7">
    <w:abstractNumId w:val="25"/>
  </w:num>
  <w:num w:numId="8">
    <w:abstractNumId w:val="8"/>
  </w:num>
  <w:num w:numId="9">
    <w:abstractNumId w:val="17"/>
  </w:num>
  <w:num w:numId="10">
    <w:abstractNumId w:val="29"/>
  </w:num>
  <w:num w:numId="11">
    <w:abstractNumId w:val="5"/>
  </w:num>
  <w:num w:numId="12">
    <w:abstractNumId w:val="21"/>
  </w:num>
  <w:num w:numId="13">
    <w:abstractNumId w:val="10"/>
  </w:num>
  <w:num w:numId="14">
    <w:abstractNumId w:val="6"/>
  </w:num>
  <w:num w:numId="15">
    <w:abstractNumId w:val="13"/>
  </w:num>
  <w:num w:numId="16">
    <w:abstractNumId w:val="24"/>
  </w:num>
  <w:num w:numId="17">
    <w:abstractNumId w:val="12"/>
  </w:num>
  <w:num w:numId="18">
    <w:abstractNumId w:val="9"/>
  </w:num>
  <w:num w:numId="19">
    <w:abstractNumId w:val="4"/>
  </w:num>
  <w:num w:numId="20">
    <w:abstractNumId w:val="7"/>
  </w:num>
  <w:num w:numId="21">
    <w:abstractNumId w:val="14"/>
  </w:num>
  <w:num w:numId="22">
    <w:abstractNumId w:val="22"/>
  </w:num>
  <w:num w:numId="23">
    <w:abstractNumId w:val="28"/>
  </w:num>
  <w:num w:numId="24">
    <w:abstractNumId w:val="26"/>
  </w:num>
  <w:num w:numId="25">
    <w:abstractNumId w:val="27"/>
  </w:num>
  <w:num w:numId="26">
    <w:abstractNumId w:val="1"/>
  </w:num>
  <w:num w:numId="27">
    <w:abstractNumId w:val="23"/>
  </w:num>
  <w:num w:numId="28">
    <w:abstractNumId w:val="3"/>
  </w:num>
  <w:num w:numId="29">
    <w:abstractNumId w:val="0"/>
  </w:num>
  <w:num w:numId="30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78"/>
    <w:rsid w:val="00017971"/>
    <w:rsid w:val="00026EC0"/>
    <w:rsid w:val="00030927"/>
    <w:rsid w:val="0004105D"/>
    <w:rsid w:val="0004190C"/>
    <w:rsid w:val="00046588"/>
    <w:rsid w:val="00050BFD"/>
    <w:rsid w:val="00052CE2"/>
    <w:rsid w:val="00054C1D"/>
    <w:rsid w:val="00067090"/>
    <w:rsid w:val="0006774F"/>
    <w:rsid w:val="00070401"/>
    <w:rsid w:val="0007147A"/>
    <w:rsid w:val="00072E1B"/>
    <w:rsid w:val="0007655F"/>
    <w:rsid w:val="00080B73"/>
    <w:rsid w:val="00095E92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4619"/>
    <w:rsid w:val="001B51B9"/>
    <w:rsid w:val="001B727C"/>
    <w:rsid w:val="001C7F3F"/>
    <w:rsid w:val="001D2E53"/>
    <w:rsid w:val="001D4F07"/>
    <w:rsid w:val="001E1642"/>
    <w:rsid w:val="001E1BE7"/>
    <w:rsid w:val="001E48EE"/>
    <w:rsid w:val="001E6A90"/>
    <w:rsid w:val="001F41F3"/>
    <w:rsid w:val="001F445E"/>
    <w:rsid w:val="001F6711"/>
    <w:rsid w:val="00203F6A"/>
    <w:rsid w:val="00213182"/>
    <w:rsid w:val="0021549B"/>
    <w:rsid w:val="00217699"/>
    <w:rsid w:val="00224067"/>
    <w:rsid w:val="002269FD"/>
    <w:rsid w:val="00227505"/>
    <w:rsid w:val="00260B24"/>
    <w:rsid w:val="00262ACE"/>
    <w:rsid w:val="00263360"/>
    <w:rsid w:val="002636AF"/>
    <w:rsid w:val="0026451D"/>
    <w:rsid w:val="00275216"/>
    <w:rsid w:val="0027610E"/>
    <w:rsid w:val="0027707E"/>
    <w:rsid w:val="0028030F"/>
    <w:rsid w:val="00281574"/>
    <w:rsid w:val="002857B6"/>
    <w:rsid w:val="00286311"/>
    <w:rsid w:val="00291065"/>
    <w:rsid w:val="002A0DB1"/>
    <w:rsid w:val="002A15AC"/>
    <w:rsid w:val="002A6273"/>
    <w:rsid w:val="002A6FCA"/>
    <w:rsid w:val="002B2B31"/>
    <w:rsid w:val="002B44F0"/>
    <w:rsid w:val="002B6D18"/>
    <w:rsid w:val="002C719B"/>
    <w:rsid w:val="002D0184"/>
    <w:rsid w:val="002D3D40"/>
    <w:rsid w:val="002D5BF7"/>
    <w:rsid w:val="002D7BBD"/>
    <w:rsid w:val="002E7253"/>
    <w:rsid w:val="002E79C9"/>
    <w:rsid w:val="002F0034"/>
    <w:rsid w:val="002F22DD"/>
    <w:rsid w:val="0031652F"/>
    <w:rsid w:val="00322BA4"/>
    <w:rsid w:val="003401CA"/>
    <w:rsid w:val="00346942"/>
    <w:rsid w:val="00351BD7"/>
    <w:rsid w:val="003520B5"/>
    <w:rsid w:val="0037187E"/>
    <w:rsid w:val="00373822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72CE"/>
    <w:rsid w:val="00465448"/>
    <w:rsid w:val="00465A51"/>
    <w:rsid w:val="00492070"/>
    <w:rsid w:val="004926BD"/>
    <w:rsid w:val="00493775"/>
    <w:rsid w:val="004B6B6B"/>
    <w:rsid w:val="004E42FA"/>
    <w:rsid w:val="004E4C0F"/>
    <w:rsid w:val="004E7CD4"/>
    <w:rsid w:val="004F6FEC"/>
    <w:rsid w:val="00502868"/>
    <w:rsid w:val="00515B6A"/>
    <w:rsid w:val="005160F8"/>
    <w:rsid w:val="0054211D"/>
    <w:rsid w:val="005439B0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D146C"/>
    <w:rsid w:val="005D1EEF"/>
    <w:rsid w:val="005E365A"/>
    <w:rsid w:val="005E6608"/>
    <w:rsid w:val="00600349"/>
    <w:rsid w:val="00604F50"/>
    <w:rsid w:val="00611D96"/>
    <w:rsid w:val="00612214"/>
    <w:rsid w:val="00625CD7"/>
    <w:rsid w:val="00625EAF"/>
    <w:rsid w:val="00630932"/>
    <w:rsid w:val="00632AE9"/>
    <w:rsid w:val="00640DE8"/>
    <w:rsid w:val="0064539A"/>
    <w:rsid w:val="006538C4"/>
    <w:rsid w:val="00653FE5"/>
    <w:rsid w:val="00661BE2"/>
    <w:rsid w:val="00662269"/>
    <w:rsid w:val="00670788"/>
    <w:rsid w:val="0067545A"/>
    <w:rsid w:val="00682A34"/>
    <w:rsid w:val="006921BE"/>
    <w:rsid w:val="006959E4"/>
    <w:rsid w:val="006A33CE"/>
    <w:rsid w:val="006A35FB"/>
    <w:rsid w:val="006A4983"/>
    <w:rsid w:val="006B0F80"/>
    <w:rsid w:val="006B1DED"/>
    <w:rsid w:val="006B389F"/>
    <w:rsid w:val="006C0567"/>
    <w:rsid w:val="006D21F9"/>
    <w:rsid w:val="006D6D13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D5B13"/>
    <w:rsid w:val="007E6925"/>
    <w:rsid w:val="007E7201"/>
    <w:rsid w:val="007F0B91"/>
    <w:rsid w:val="007F2B0B"/>
    <w:rsid w:val="007F3217"/>
    <w:rsid w:val="0080509D"/>
    <w:rsid w:val="008169B8"/>
    <w:rsid w:val="00822E00"/>
    <w:rsid w:val="00827AC9"/>
    <w:rsid w:val="00833136"/>
    <w:rsid w:val="00846897"/>
    <w:rsid w:val="0085538B"/>
    <w:rsid w:val="00860D16"/>
    <w:rsid w:val="008616A2"/>
    <w:rsid w:val="00865132"/>
    <w:rsid w:val="008716C9"/>
    <w:rsid w:val="008769EF"/>
    <w:rsid w:val="00880AAF"/>
    <w:rsid w:val="00881381"/>
    <w:rsid w:val="00892846"/>
    <w:rsid w:val="0089703D"/>
    <w:rsid w:val="00897863"/>
    <w:rsid w:val="008A1398"/>
    <w:rsid w:val="008A1837"/>
    <w:rsid w:val="008A7C1D"/>
    <w:rsid w:val="008B0AB6"/>
    <w:rsid w:val="008B1BCF"/>
    <w:rsid w:val="008C1A56"/>
    <w:rsid w:val="008D3C30"/>
    <w:rsid w:val="008D4373"/>
    <w:rsid w:val="008E312C"/>
    <w:rsid w:val="008E78E6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4372F"/>
    <w:rsid w:val="009541F2"/>
    <w:rsid w:val="009551F2"/>
    <w:rsid w:val="00963446"/>
    <w:rsid w:val="00973033"/>
    <w:rsid w:val="00974B52"/>
    <w:rsid w:val="00975FA3"/>
    <w:rsid w:val="009761A7"/>
    <w:rsid w:val="00983C6B"/>
    <w:rsid w:val="009853D5"/>
    <w:rsid w:val="009868D6"/>
    <w:rsid w:val="0098762D"/>
    <w:rsid w:val="009930C7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F17AE"/>
    <w:rsid w:val="009F1B70"/>
    <w:rsid w:val="009F2D5C"/>
    <w:rsid w:val="00A13BBD"/>
    <w:rsid w:val="00A16A7E"/>
    <w:rsid w:val="00A42301"/>
    <w:rsid w:val="00A4711C"/>
    <w:rsid w:val="00A5290F"/>
    <w:rsid w:val="00A5364A"/>
    <w:rsid w:val="00A623F2"/>
    <w:rsid w:val="00A64328"/>
    <w:rsid w:val="00A6432A"/>
    <w:rsid w:val="00A65910"/>
    <w:rsid w:val="00A66729"/>
    <w:rsid w:val="00A70AFC"/>
    <w:rsid w:val="00A70EF0"/>
    <w:rsid w:val="00A7136B"/>
    <w:rsid w:val="00A85935"/>
    <w:rsid w:val="00A97174"/>
    <w:rsid w:val="00AA13DE"/>
    <w:rsid w:val="00AA2AB0"/>
    <w:rsid w:val="00AA39AC"/>
    <w:rsid w:val="00AA52CE"/>
    <w:rsid w:val="00AB2046"/>
    <w:rsid w:val="00AB23D3"/>
    <w:rsid w:val="00AD0B35"/>
    <w:rsid w:val="00AD3125"/>
    <w:rsid w:val="00AD7B7A"/>
    <w:rsid w:val="00AF06C1"/>
    <w:rsid w:val="00AF0F1A"/>
    <w:rsid w:val="00AF2D9C"/>
    <w:rsid w:val="00AF5D91"/>
    <w:rsid w:val="00B021CE"/>
    <w:rsid w:val="00B11029"/>
    <w:rsid w:val="00B13369"/>
    <w:rsid w:val="00B170EA"/>
    <w:rsid w:val="00B26AB3"/>
    <w:rsid w:val="00B40A2F"/>
    <w:rsid w:val="00B45421"/>
    <w:rsid w:val="00B45D75"/>
    <w:rsid w:val="00B45FF3"/>
    <w:rsid w:val="00B46E62"/>
    <w:rsid w:val="00B54759"/>
    <w:rsid w:val="00B553A6"/>
    <w:rsid w:val="00B669BB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E1C8B"/>
    <w:rsid w:val="00BE7822"/>
    <w:rsid w:val="00BF0672"/>
    <w:rsid w:val="00BF0809"/>
    <w:rsid w:val="00BF1930"/>
    <w:rsid w:val="00BF738D"/>
    <w:rsid w:val="00C03ECA"/>
    <w:rsid w:val="00C052E8"/>
    <w:rsid w:val="00C15423"/>
    <w:rsid w:val="00C15D71"/>
    <w:rsid w:val="00C31057"/>
    <w:rsid w:val="00C331B7"/>
    <w:rsid w:val="00C33DD1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CF45FD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A5C03"/>
    <w:rsid w:val="00DB11B2"/>
    <w:rsid w:val="00DB2E4F"/>
    <w:rsid w:val="00DC255C"/>
    <w:rsid w:val="00DC3A0A"/>
    <w:rsid w:val="00DC592F"/>
    <w:rsid w:val="00DC775B"/>
    <w:rsid w:val="00DC7CDA"/>
    <w:rsid w:val="00DD7BB4"/>
    <w:rsid w:val="00DE1284"/>
    <w:rsid w:val="00DF2638"/>
    <w:rsid w:val="00DF3B82"/>
    <w:rsid w:val="00DF705C"/>
    <w:rsid w:val="00E066FF"/>
    <w:rsid w:val="00E1080E"/>
    <w:rsid w:val="00E14521"/>
    <w:rsid w:val="00E17F42"/>
    <w:rsid w:val="00E21A4E"/>
    <w:rsid w:val="00E21A66"/>
    <w:rsid w:val="00E25344"/>
    <w:rsid w:val="00E30F9B"/>
    <w:rsid w:val="00E44AFC"/>
    <w:rsid w:val="00E55AFD"/>
    <w:rsid w:val="00E64D26"/>
    <w:rsid w:val="00E867FA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310E"/>
    <w:rsid w:val="00F95D9E"/>
    <w:rsid w:val="00FA26A6"/>
    <w:rsid w:val="00FA4D8E"/>
    <w:rsid w:val="00FA5D48"/>
    <w:rsid w:val="00FB1399"/>
    <w:rsid w:val="00FD32ED"/>
    <w:rsid w:val="00FD5CA1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2022-09-23T08:25:00Z</cp:lastPrinted>
  <dcterms:created xsi:type="dcterms:W3CDTF">2022-10-28T13:53:00Z</dcterms:created>
  <dcterms:modified xsi:type="dcterms:W3CDTF">2022-10-28T13:53:00Z</dcterms:modified>
</cp:coreProperties>
</file>