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7F" w:rsidRPr="001B0917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FB7230">
        <w:rPr>
          <w:rFonts w:ascii="Arial" w:hAnsi="Arial" w:cs="Arial"/>
          <w:b/>
          <w:sz w:val="22"/>
          <w:szCs w:val="22"/>
        </w:rPr>
        <w:t>ASSEMBLY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QUESTION NUMBER: </w:t>
      </w:r>
      <w:r w:rsidR="00FB7230">
        <w:rPr>
          <w:rFonts w:ascii="Arial" w:hAnsi="Arial" w:cs="Arial"/>
          <w:b/>
          <w:sz w:val="22"/>
          <w:szCs w:val="22"/>
        </w:rPr>
        <w:t>28</w:t>
      </w:r>
      <w:r w:rsidR="00851977">
        <w:rPr>
          <w:rFonts w:ascii="Arial" w:hAnsi="Arial" w:cs="Arial"/>
          <w:b/>
          <w:sz w:val="22"/>
          <w:szCs w:val="22"/>
        </w:rPr>
        <w:t>8</w:t>
      </w:r>
      <w:r w:rsidR="000D7CAB">
        <w:rPr>
          <w:rFonts w:ascii="Arial" w:hAnsi="Arial" w:cs="Arial"/>
          <w:b/>
          <w:sz w:val="22"/>
          <w:szCs w:val="22"/>
        </w:rPr>
        <w:t>3</w:t>
      </w:r>
      <w:r w:rsidRPr="00063E28">
        <w:rPr>
          <w:rFonts w:ascii="Arial" w:hAnsi="Arial" w:cs="Arial"/>
          <w:b/>
          <w:sz w:val="22"/>
          <w:szCs w:val="22"/>
        </w:rPr>
        <w:t xml:space="preserve"> [</w:t>
      </w:r>
      <w:r w:rsidR="00FB7230">
        <w:rPr>
          <w:rFonts w:ascii="Arial" w:hAnsi="Arial" w:cs="Arial"/>
          <w:b/>
          <w:sz w:val="22"/>
          <w:szCs w:val="22"/>
          <w:lang w:val="en-ZA"/>
        </w:rPr>
        <w:t>N</w:t>
      </w:r>
      <w:r w:rsidR="001F4430" w:rsidRPr="001F4430">
        <w:rPr>
          <w:rFonts w:ascii="Arial" w:hAnsi="Arial" w:cs="Arial"/>
          <w:b/>
          <w:sz w:val="22"/>
          <w:szCs w:val="22"/>
          <w:lang w:val="en-ZA"/>
        </w:rPr>
        <w:t>W</w:t>
      </w:r>
      <w:r w:rsidR="00FB7230">
        <w:rPr>
          <w:rFonts w:ascii="Arial" w:hAnsi="Arial" w:cs="Arial"/>
          <w:b/>
          <w:sz w:val="22"/>
          <w:szCs w:val="22"/>
          <w:lang w:val="en-ZA"/>
        </w:rPr>
        <w:t>31</w:t>
      </w:r>
      <w:r w:rsidR="000D7CAB">
        <w:rPr>
          <w:rFonts w:ascii="Arial" w:hAnsi="Arial" w:cs="Arial"/>
          <w:b/>
          <w:sz w:val="22"/>
          <w:szCs w:val="22"/>
          <w:lang w:val="en-ZA"/>
        </w:rPr>
        <w:t>91</w:t>
      </w:r>
      <w:r w:rsidR="001F4430" w:rsidRPr="001F4430">
        <w:rPr>
          <w:rFonts w:ascii="Arial" w:hAnsi="Arial" w:cs="Arial"/>
          <w:b/>
          <w:sz w:val="22"/>
          <w:szCs w:val="22"/>
          <w:lang w:val="en-ZA"/>
        </w:rPr>
        <w:t>E</w:t>
      </w:r>
      <w:r w:rsidRPr="00063E28">
        <w:rPr>
          <w:rFonts w:ascii="Arial" w:hAnsi="Arial" w:cs="Arial"/>
          <w:b/>
          <w:sz w:val="22"/>
          <w:szCs w:val="22"/>
        </w:rPr>
        <w:t>]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FB7230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B7230">
        <w:rPr>
          <w:rFonts w:ascii="Arial" w:hAnsi="Arial" w:cs="Arial"/>
          <w:b/>
          <w:sz w:val="22"/>
          <w:szCs w:val="22"/>
        </w:rPr>
        <w:t>OCTOBER</w:t>
      </w:r>
      <w:r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BC315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D7CAB" w:rsidRPr="000D7CAB" w:rsidRDefault="000D7CAB" w:rsidP="000D7CAB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0D7CAB">
        <w:rPr>
          <w:rFonts w:ascii="Arial" w:eastAsia="Calibri" w:hAnsi="Arial" w:cs="Arial"/>
          <w:b/>
          <w:sz w:val="22"/>
          <w:szCs w:val="22"/>
          <w:lang w:val="en-GB"/>
        </w:rPr>
        <w:t>2883.</w:t>
      </w:r>
      <w:r w:rsidRPr="000D7CAB">
        <w:rPr>
          <w:rFonts w:ascii="Arial" w:eastAsia="Calibri" w:hAnsi="Arial" w:cs="Arial"/>
          <w:b/>
          <w:sz w:val="22"/>
          <w:szCs w:val="22"/>
          <w:lang w:val="en-GB"/>
        </w:rPr>
        <w:tab/>
      </w:r>
      <w:r w:rsidRPr="000D7CAB">
        <w:rPr>
          <w:rFonts w:ascii="Arial" w:eastAsia="Calibri" w:hAnsi="Arial" w:cs="Arial"/>
          <w:b/>
          <w:noProof/>
          <w:sz w:val="22"/>
          <w:szCs w:val="22"/>
          <w:lang w:val="af-ZA"/>
        </w:rPr>
        <w:t>Mr G A Gardee (EFF) to ask the Minister of Finance:</w:t>
      </w:r>
    </w:p>
    <w:p w:rsidR="000D7CAB" w:rsidRDefault="000D7CAB" w:rsidP="000D7CAB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0D7CAB">
        <w:rPr>
          <w:rFonts w:ascii="Arial" w:eastAsia="Calibri" w:hAnsi="Arial" w:cs="Arial"/>
          <w:sz w:val="22"/>
          <w:szCs w:val="22"/>
          <w:lang w:val="en-GB"/>
        </w:rPr>
        <w:t xml:space="preserve">With reference to the reply of the Minister of Public Service and Administration to question 2361 on 17 September </w:t>
      </w:r>
      <w:r w:rsidRPr="000D7CAB">
        <w:rPr>
          <w:rFonts w:ascii="Arial" w:eastAsia="Calibri" w:hAnsi="Arial" w:cs="Arial"/>
          <w:sz w:val="22"/>
          <w:szCs w:val="22"/>
          <w:lang w:val="en-GB" w:eastAsia="en-ZA"/>
        </w:rPr>
        <w:t>2018</w:t>
      </w:r>
      <w:r w:rsidRPr="000D7CAB">
        <w:rPr>
          <w:rFonts w:ascii="Arial" w:eastAsia="Calibri" w:hAnsi="Arial" w:cs="Arial"/>
          <w:sz w:val="22"/>
          <w:szCs w:val="22"/>
          <w:lang w:val="en-GB"/>
        </w:rPr>
        <w:t>, what (a) number of government employees on (</w:t>
      </w:r>
      <w:proofErr w:type="spellStart"/>
      <w:r w:rsidRPr="000D7CAB">
        <w:rPr>
          <w:rFonts w:ascii="Arial" w:eastAsia="Calibri" w:hAnsi="Arial" w:cs="Arial"/>
          <w:sz w:val="22"/>
          <w:szCs w:val="22"/>
          <w:lang w:val="en-GB"/>
        </w:rPr>
        <w:t>i</w:t>
      </w:r>
      <w:proofErr w:type="spellEnd"/>
      <w:r w:rsidRPr="000D7CAB">
        <w:rPr>
          <w:rFonts w:ascii="Arial" w:eastAsia="Calibri" w:hAnsi="Arial" w:cs="Arial"/>
          <w:sz w:val="22"/>
          <w:szCs w:val="22"/>
          <w:lang w:val="en-GB"/>
        </w:rPr>
        <w:t>) national and (ii) provincial level on the PERSAL system are over the age of 60 years and (b) is the breakdown of the specified government employees in terms of (</w:t>
      </w:r>
      <w:proofErr w:type="spellStart"/>
      <w:r w:rsidRPr="000D7CAB">
        <w:rPr>
          <w:rFonts w:ascii="Arial" w:eastAsia="Calibri" w:hAnsi="Arial" w:cs="Arial"/>
          <w:sz w:val="22"/>
          <w:szCs w:val="22"/>
          <w:lang w:val="en-GB"/>
        </w:rPr>
        <w:t>i</w:t>
      </w:r>
      <w:proofErr w:type="spellEnd"/>
      <w:r w:rsidRPr="000D7CAB">
        <w:rPr>
          <w:rFonts w:ascii="Arial" w:eastAsia="Calibri" w:hAnsi="Arial" w:cs="Arial"/>
          <w:sz w:val="22"/>
          <w:szCs w:val="22"/>
          <w:lang w:val="en-GB"/>
        </w:rPr>
        <w:t>) age, (ii) department and (iii) salary level?</w:t>
      </w:r>
      <w:r w:rsidRPr="000D7CAB">
        <w:rPr>
          <w:rFonts w:ascii="Arial" w:eastAsia="Calibri" w:hAnsi="Arial" w:cs="Arial"/>
          <w:noProof/>
          <w:sz w:val="22"/>
          <w:szCs w:val="22"/>
          <w:lang w:val="af-ZA"/>
        </w:rPr>
        <w:tab/>
      </w:r>
    </w:p>
    <w:p w:rsidR="000D7CAB" w:rsidRPr="000D7CAB" w:rsidRDefault="000D7CAB" w:rsidP="000D7CAB">
      <w:pPr>
        <w:spacing w:before="100" w:beforeAutospacing="1" w:after="100" w:afterAutospacing="1" w:line="360" w:lineRule="auto"/>
        <w:ind w:left="720"/>
        <w:jc w:val="both"/>
        <w:outlineLvl w:val="0"/>
        <w:rPr>
          <w:rFonts w:eastAsia="Calibri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0D7CA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0D7CA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0D7CA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0D7CA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0D7CA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0D7CAB">
        <w:rPr>
          <w:rFonts w:ascii="Arial" w:eastAsia="Calibri" w:hAnsi="Arial" w:cs="Arial"/>
          <w:sz w:val="22"/>
          <w:szCs w:val="22"/>
          <w:lang w:val="en-GB" w:eastAsia="en-ZA"/>
        </w:rPr>
        <w:t>NW3191E</w:t>
      </w:r>
    </w:p>
    <w:p w:rsidR="001433AE" w:rsidRDefault="001433AE" w:rsidP="000E0FF8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</w:rPr>
      </w:pPr>
      <w:r w:rsidRPr="002131C7">
        <w:rPr>
          <w:rFonts w:ascii="Arial" w:hAnsi="Arial" w:cs="Arial"/>
          <w:b/>
          <w:sz w:val="22"/>
        </w:rPr>
        <w:t>REPLY</w:t>
      </w:r>
      <w:r w:rsidRPr="002131C7">
        <w:rPr>
          <w:rFonts w:ascii="Arial" w:hAnsi="Arial" w:cs="Arial"/>
          <w:sz w:val="22"/>
        </w:rPr>
        <w:t>:</w:t>
      </w:r>
    </w:p>
    <w:p w:rsidR="00DF02D9" w:rsidRDefault="00DF02D9" w:rsidP="000E0FF8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</w:rPr>
      </w:pPr>
    </w:p>
    <w:p w:rsidR="00DF02D9" w:rsidRPr="00DF02D9" w:rsidRDefault="00DF02D9" w:rsidP="00DF02D9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Number of employees aged 60 and older per sphere of government</w:t>
      </w:r>
      <w:r w:rsidR="00621FD7">
        <w:rPr>
          <w:rFonts w:ascii="Arial" w:hAnsi="Arial" w:cs="Arial"/>
          <w:sz w:val="22"/>
        </w:rPr>
        <w:t xml:space="preserve"> as at September 2018 for all the departments </w:t>
      </w:r>
      <w:r w:rsidR="0095170C">
        <w:rPr>
          <w:rFonts w:ascii="Arial" w:hAnsi="Arial" w:cs="Arial"/>
          <w:sz w:val="22"/>
        </w:rPr>
        <w:t xml:space="preserve">(South African </w:t>
      </w:r>
      <w:r w:rsidR="00621FD7">
        <w:rPr>
          <w:rFonts w:ascii="Arial" w:hAnsi="Arial" w:cs="Arial"/>
          <w:sz w:val="22"/>
        </w:rPr>
        <w:t xml:space="preserve">National </w:t>
      </w:r>
      <w:proofErr w:type="spellStart"/>
      <w:r w:rsidR="00621FD7">
        <w:rPr>
          <w:rFonts w:ascii="Arial" w:hAnsi="Arial" w:cs="Arial"/>
          <w:sz w:val="22"/>
        </w:rPr>
        <w:t>Defence</w:t>
      </w:r>
      <w:proofErr w:type="spellEnd"/>
      <w:r w:rsidR="00621FD7">
        <w:rPr>
          <w:rFonts w:ascii="Arial" w:hAnsi="Arial" w:cs="Arial"/>
          <w:sz w:val="22"/>
        </w:rPr>
        <w:t xml:space="preserve"> Force </w:t>
      </w:r>
      <w:r w:rsidR="0095170C">
        <w:rPr>
          <w:rFonts w:ascii="Arial" w:hAnsi="Arial" w:cs="Arial"/>
          <w:sz w:val="22"/>
        </w:rPr>
        <w:t xml:space="preserve">data </w:t>
      </w:r>
      <w:r w:rsidR="00621FD7">
        <w:rPr>
          <w:rFonts w:ascii="Arial" w:hAnsi="Arial" w:cs="Arial"/>
          <w:sz w:val="22"/>
        </w:rPr>
        <w:t>extracted from September 2017</w:t>
      </w:r>
      <w:r>
        <w:rPr>
          <w:rFonts w:ascii="Arial" w:hAnsi="Arial" w:cs="Arial"/>
          <w:sz w:val="22"/>
        </w:rPr>
        <w:t>:</w:t>
      </w:r>
    </w:p>
    <w:p w:rsidR="00621FD7" w:rsidRDefault="00621FD7" w:rsidP="00621FD7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6"/>
      </w:tblGrid>
      <w:tr w:rsidR="00433CD9" w:rsidRPr="00433CD9" w:rsidTr="001548E2">
        <w:trPr>
          <w:trHeight w:val="456"/>
        </w:trPr>
        <w:tc>
          <w:tcPr>
            <w:tcW w:w="2405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2"/>
                <w:lang w:val="en-ZA"/>
              </w:rPr>
            </w:pPr>
            <w:r w:rsidRPr="00433CD9">
              <w:rPr>
                <w:rFonts w:ascii="Arial" w:eastAsia="Calibri" w:hAnsi="Arial" w:cs="Arial"/>
                <w:b/>
                <w:bCs/>
                <w:sz w:val="22"/>
              </w:rPr>
              <w:t>Sphere</w:t>
            </w:r>
          </w:p>
        </w:tc>
        <w:tc>
          <w:tcPr>
            <w:tcW w:w="6946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2"/>
              </w:rPr>
            </w:pPr>
            <w:r w:rsidRPr="00433CD9">
              <w:rPr>
                <w:rFonts w:ascii="Arial" w:eastAsia="Calibri" w:hAnsi="Arial" w:cs="Arial"/>
                <w:b/>
                <w:bCs/>
                <w:sz w:val="22"/>
                <w:lang w:val="en-GB"/>
              </w:rPr>
              <w:t xml:space="preserve">Number of employees aged 60 and older </w:t>
            </w:r>
          </w:p>
        </w:tc>
      </w:tr>
      <w:tr w:rsidR="00433CD9" w:rsidRPr="00433CD9" w:rsidTr="001548E2">
        <w:trPr>
          <w:trHeight w:val="456"/>
        </w:trPr>
        <w:tc>
          <w:tcPr>
            <w:tcW w:w="2405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Eastern Cape</w:t>
            </w:r>
          </w:p>
        </w:tc>
        <w:tc>
          <w:tcPr>
            <w:tcW w:w="6946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6 458</w:t>
            </w:r>
          </w:p>
        </w:tc>
      </w:tr>
      <w:tr w:rsidR="00433CD9" w:rsidRPr="00433CD9" w:rsidTr="001548E2">
        <w:trPr>
          <w:trHeight w:val="456"/>
        </w:trPr>
        <w:tc>
          <w:tcPr>
            <w:tcW w:w="2405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Free State</w:t>
            </w:r>
          </w:p>
        </w:tc>
        <w:tc>
          <w:tcPr>
            <w:tcW w:w="6946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2 788</w:t>
            </w:r>
          </w:p>
        </w:tc>
      </w:tr>
      <w:tr w:rsidR="00433CD9" w:rsidRPr="00433CD9" w:rsidTr="001548E2">
        <w:trPr>
          <w:trHeight w:val="456"/>
        </w:trPr>
        <w:tc>
          <w:tcPr>
            <w:tcW w:w="2405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Gauteng</w:t>
            </w:r>
          </w:p>
        </w:tc>
        <w:tc>
          <w:tcPr>
            <w:tcW w:w="6946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8 329</w:t>
            </w:r>
          </w:p>
        </w:tc>
      </w:tr>
      <w:tr w:rsidR="00433CD9" w:rsidRPr="00433CD9" w:rsidTr="001548E2">
        <w:trPr>
          <w:trHeight w:val="456"/>
        </w:trPr>
        <w:tc>
          <w:tcPr>
            <w:tcW w:w="2405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Kwa-Zulu Natal</w:t>
            </w:r>
          </w:p>
        </w:tc>
        <w:tc>
          <w:tcPr>
            <w:tcW w:w="6946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7 309</w:t>
            </w:r>
          </w:p>
        </w:tc>
      </w:tr>
      <w:tr w:rsidR="00433CD9" w:rsidRPr="00433CD9" w:rsidTr="001548E2">
        <w:trPr>
          <w:trHeight w:val="456"/>
        </w:trPr>
        <w:tc>
          <w:tcPr>
            <w:tcW w:w="2405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Limpopo Province</w:t>
            </w:r>
          </w:p>
        </w:tc>
        <w:tc>
          <w:tcPr>
            <w:tcW w:w="6946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5 303</w:t>
            </w:r>
          </w:p>
        </w:tc>
      </w:tr>
      <w:tr w:rsidR="00433CD9" w:rsidRPr="00433CD9" w:rsidTr="001548E2">
        <w:trPr>
          <w:trHeight w:val="456"/>
        </w:trPr>
        <w:tc>
          <w:tcPr>
            <w:tcW w:w="2405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Mpumalanga</w:t>
            </w:r>
          </w:p>
        </w:tc>
        <w:tc>
          <w:tcPr>
            <w:tcW w:w="6946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2 908</w:t>
            </w:r>
          </w:p>
        </w:tc>
      </w:tr>
      <w:tr w:rsidR="00433CD9" w:rsidRPr="00433CD9" w:rsidTr="001548E2">
        <w:trPr>
          <w:trHeight w:val="456"/>
        </w:trPr>
        <w:tc>
          <w:tcPr>
            <w:tcW w:w="2405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National Departments</w:t>
            </w:r>
          </w:p>
        </w:tc>
        <w:tc>
          <w:tcPr>
            <w:tcW w:w="6946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6 221</w:t>
            </w:r>
          </w:p>
        </w:tc>
      </w:tr>
      <w:tr w:rsidR="00433CD9" w:rsidRPr="00433CD9" w:rsidTr="001548E2">
        <w:trPr>
          <w:trHeight w:val="456"/>
        </w:trPr>
        <w:tc>
          <w:tcPr>
            <w:tcW w:w="2405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North West</w:t>
            </w:r>
          </w:p>
        </w:tc>
        <w:tc>
          <w:tcPr>
            <w:tcW w:w="6946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2 762</w:t>
            </w:r>
          </w:p>
        </w:tc>
      </w:tr>
      <w:tr w:rsidR="00433CD9" w:rsidRPr="00433CD9" w:rsidTr="001548E2">
        <w:trPr>
          <w:trHeight w:val="456"/>
        </w:trPr>
        <w:tc>
          <w:tcPr>
            <w:tcW w:w="2405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Northern Cape</w:t>
            </w:r>
          </w:p>
        </w:tc>
        <w:tc>
          <w:tcPr>
            <w:tcW w:w="6946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1 257</w:t>
            </w:r>
          </w:p>
        </w:tc>
      </w:tr>
      <w:tr w:rsidR="00433CD9" w:rsidRPr="00433CD9" w:rsidTr="001548E2">
        <w:trPr>
          <w:trHeight w:val="456"/>
        </w:trPr>
        <w:tc>
          <w:tcPr>
            <w:tcW w:w="2405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Western Cape</w:t>
            </w:r>
          </w:p>
        </w:tc>
        <w:tc>
          <w:tcPr>
            <w:tcW w:w="6946" w:type="dxa"/>
            <w:hideMark/>
          </w:tcPr>
          <w:p w:rsidR="00433CD9" w:rsidRPr="00433CD9" w:rsidRDefault="00433CD9" w:rsidP="00433CD9">
            <w:pPr>
              <w:spacing w:before="100" w:beforeAutospacing="1" w:after="100" w:afterAutospacing="1" w:line="276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433CD9">
              <w:rPr>
                <w:rFonts w:ascii="Arial" w:eastAsia="Calibri" w:hAnsi="Arial" w:cs="Arial"/>
                <w:sz w:val="22"/>
              </w:rPr>
              <w:t>4 873</w:t>
            </w:r>
          </w:p>
        </w:tc>
      </w:tr>
    </w:tbl>
    <w:p w:rsidR="00621FD7" w:rsidRDefault="0095170C" w:rsidP="00621FD7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lang w:val="en-GB"/>
        </w:rPr>
      </w:pPr>
      <w:r w:rsidRPr="0095170C">
        <w:rPr>
          <w:rFonts w:ascii="Arial" w:eastAsia="Calibri" w:hAnsi="Arial" w:cs="Arial"/>
          <w:b/>
          <w:sz w:val="22"/>
          <w:lang w:val="en-GB"/>
        </w:rPr>
        <w:lastRenderedPageBreak/>
        <w:t>Notes</w:t>
      </w:r>
      <w:r>
        <w:rPr>
          <w:rFonts w:ascii="Arial" w:eastAsia="Calibri" w:hAnsi="Arial" w:cs="Arial"/>
          <w:sz w:val="22"/>
          <w:lang w:val="en-GB"/>
        </w:rPr>
        <w:t>:</w:t>
      </w:r>
    </w:p>
    <w:p w:rsidR="0095170C" w:rsidRDefault="0095170C" w:rsidP="00621FD7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lang w:val="en-GB"/>
        </w:rPr>
      </w:pPr>
      <w:r>
        <w:rPr>
          <w:rFonts w:ascii="Arial" w:eastAsia="Calibri" w:hAnsi="Arial" w:cs="Arial"/>
          <w:sz w:val="22"/>
          <w:lang w:val="en-GB"/>
        </w:rPr>
        <w:t>1) Data presented as at end September 2018. South African National Defence Force data as at September 2017</w:t>
      </w:r>
    </w:p>
    <w:p w:rsidR="00621FD7" w:rsidRPr="00621FD7" w:rsidRDefault="00621FD7" w:rsidP="00621FD7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lang w:val="en-GB"/>
        </w:rPr>
      </w:pPr>
    </w:p>
    <w:p w:rsidR="00DF02D9" w:rsidRDefault="00B72E97" w:rsidP="00B72E97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F02D9">
        <w:rPr>
          <w:rFonts w:ascii="Arial" w:hAnsi="Arial" w:cs="Arial"/>
          <w:sz w:val="22"/>
          <w:szCs w:val="22"/>
        </w:rPr>
        <w:t>reakdown of specified government employees</w:t>
      </w:r>
      <w:r w:rsidR="00621F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terms of: </w:t>
      </w:r>
    </w:p>
    <w:p w:rsidR="00B72E97" w:rsidRDefault="00B72E97" w:rsidP="00B72E9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2E97" w:rsidRPr="00B72E97" w:rsidRDefault="00B72E97" w:rsidP="00B72E97">
      <w:pPr>
        <w:pStyle w:val="ListParagraph"/>
        <w:numPr>
          <w:ilvl w:val="0"/>
          <w:numId w:val="6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</w:t>
      </w:r>
    </w:p>
    <w:p w:rsidR="00DF02D9" w:rsidRDefault="00DF02D9" w:rsidP="005A25B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379" w:type="dxa"/>
        <w:tblInd w:w="-5" w:type="dxa"/>
        <w:tblLook w:val="0600" w:firstRow="0" w:lastRow="0" w:firstColumn="0" w:lastColumn="0" w:noHBand="1" w:noVBand="1"/>
      </w:tblPr>
      <w:tblGrid>
        <w:gridCol w:w="960"/>
        <w:gridCol w:w="5419"/>
      </w:tblGrid>
      <w:tr w:rsidR="00BE6714" w:rsidRPr="00BE6714" w:rsidTr="00BE6714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BE6714">
              <w:rPr>
                <w:rFonts w:ascii="Arial" w:hAnsi="Arial" w:cs="Arial"/>
                <w:b/>
                <w:color w:val="000000"/>
                <w:sz w:val="22"/>
                <w:szCs w:val="22"/>
              </w:rPr>
              <w:t>Age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Number of employees aged 60 and older 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14 734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10 436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8 429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6 481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5 373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568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BE6714" w:rsidRPr="00BE6714" w:rsidTr="00BE67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4" w:rsidRPr="00BE6714" w:rsidRDefault="00BE6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714">
              <w:rPr>
                <w:rFonts w:ascii="Arial" w:hAnsi="Arial" w:cs="Arial"/>
                <w:color w:val="000000"/>
                <w:sz w:val="22"/>
                <w:szCs w:val="22"/>
              </w:rPr>
              <w:t>759</w:t>
            </w:r>
          </w:p>
        </w:tc>
      </w:tr>
    </w:tbl>
    <w:p w:rsidR="001548E2" w:rsidRDefault="001548E2" w:rsidP="001548E2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lang w:val="en-GB"/>
        </w:rPr>
      </w:pPr>
      <w:r w:rsidRPr="0095170C">
        <w:rPr>
          <w:rFonts w:ascii="Arial" w:eastAsia="Calibri" w:hAnsi="Arial" w:cs="Arial"/>
          <w:b/>
          <w:sz w:val="22"/>
          <w:lang w:val="en-GB"/>
        </w:rPr>
        <w:t>Notes</w:t>
      </w:r>
      <w:r>
        <w:rPr>
          <w:rFonts w:ascii="Arial" w:eastAsia="Calibri" w:hAnsi="Arial" w:cs="Arial"/>
          <w:sz w:val="22"/>
          <w:lang w:val="en-GB"/>
        </w:rPr>
        <w:t>:</w:t>
      </w:r>
    </w:p>
    <w:p w:rsidR="001548E2" w:rsidRDefault="001548E2" w:rsidP="001548E2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lang w:val="en-GB"/>
        </w:rPr>
      </w:pPr>
      <w:r>
        <w:rPr>
          <w:rFonts w:ascii="Arial" w:eastAsia="Calibri" w:hAnsi="Arial" w:cs="Arial"/>
          <w:sz w:val="22"/>
          <w:lang w:val="en-GB"/>
        </w:rPr>
        <w:t>1) Data presented as at end September 2018. South African National Defence Force data as at September 2017</w:t>
      </w:r>
    </w:p>
    <w:p w:rsidR="00BE6714" w:rsidRDefault="00BE6714" w:rsidP="005A25B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6714" w:rsidRPr="00B72E97" w:rsidRDefault="00BE6714" w:rsidP="00B56B4D">
      <w:pPr>
        <w:pStyle w:val="ListParagraph"/>
        <w:numPr>
          <w:ilvl w:val="0"/>
          <w:numId w:val="6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</w:t>
      </w:r>
    </w:p>
    <w:p w:rsidR="00BE6714" w:rsidRPr="00B72E97" w:rsidRDefault="00BE6714" w:rsidP="005A25B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5670"/>
        <w:gridCol w:w="1276"/>
      </w:tblGrid>
      <w:tr w:rsidR="00B56B4D" w:rsidRPr="00B56B4D" w:rsidTr="00B56B4D">
        <w:trPr>
          <w:trHeight w:val="96"/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Sphere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 Department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11226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Age 60 and older</w:t>
            </w:r>
            <w:r w:rsidR="00B56B4D" w:rsidRPr="00B56B4D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01: Office Of The Premier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02: Eastern Cape Provincial Legislature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03: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2 183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04: Social Development And Special Programmes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57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05: Public Works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101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06: 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3 071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07: Cooperative Governance And Traditional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591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08: Rural Development And Agrarian Reform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147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09: Economic Development Environmental Affairs And Tourism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10: Transport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182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11: Human Settlements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12: Provincial Treasury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9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14: Sport Recreation Arts And Culture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44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Eastern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15: Safety And Liaison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01: Premier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17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03: Economic And Small Business Development Tourism And Environmental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32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04: Provincial Treasury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05: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875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06: 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1 394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07: Social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70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08: Cooperative Governance And Traditional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09: Public Works And Infrastructure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104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10: Police Roads And Transport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168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11: Agriculture And Rural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49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12: Sport Arts Culture And Recreation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44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Free State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13: Human Settlements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01: Office Of The Premier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03: Economic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3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04: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2 947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05: 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4 827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06: Social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132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07: Co Operative Governance and Traditional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30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08: Human Settlements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46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09: Roads And Transport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95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10: Community Safety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11: Agriculture And Rural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12: Sport Arts Culture And Recreation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19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Vote 13: </w:t>
            </w: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eGovernment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16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14: Provincial Treasury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20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Gauteng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15: Infrastructure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135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01: Office Of The Premier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39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03: Agriculture And Rural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117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04: Economic Development Tourism And Environmental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05: 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3 686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06: Finance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07: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2 906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08: Human Settlements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34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09: Community Safety And Liaison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10: Sport And Recreation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11: Cooperative Governance And Traditional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135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12: Transport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177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13: Social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77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14: Public Works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97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KwaZulu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Natal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15: Arts And Culture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01: Office Of The Premier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02: Provincial Legislature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10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03: 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2 294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04: Agriculture And Rural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285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05: Provincial Treasury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27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06: Economic Development Environment And Tourism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112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07: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1 548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08: Transport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114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09: Public Works Roads And Infrastructure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624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10: Community Safety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4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11: Cooperative Governance Human Settlements And Traditional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196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12: Social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49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Limpopo Province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13: Sport Arts And Culture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01: Office Of The Premier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03: Finance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12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04: Co Operative Governance And Traditional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28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05: Agriculture Rural Development And Land Administration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113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06: Economic Development And Tourism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13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07: 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1 695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08: Public Works Roads And Transport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205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09: Community Safety Security And Liaison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10: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745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11: Culture Sport And Recreation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12: Social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29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Mpumalanga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 xml:space="preserve">Vote 13: </w:t>
            </w: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Dept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 xml:space="preserve"> Of Human Settlements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10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Civilian Secretariat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6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Government Communication And Information System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11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Military Veterans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7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Defence Force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1 167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Prosecuting Authority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111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School of Government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6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Public Service Commission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19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Traditional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3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01: The Presidency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14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03: Communications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3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04: Cooperative Governance and Traditional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8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05: Home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154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06: International Relations And Cooperation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188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07: National Treasury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30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08: Planning Monitoring and Evaluation.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6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09: Public Enterprises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3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10: Public Service And Administration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17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11: Public Works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15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12: Statistics South Africa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71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13: Women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1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14: Basic 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51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15: Higher Education And Training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1 417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16: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69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17: Social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34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18: Correctional Services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47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20: Independent Police Investigative Directorate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4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21: Justice And Constitutional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699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22: National Office of the Chief Justice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385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23: Police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726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24: Agriculture Forestry And Fisheries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313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25: Economic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4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26: Energy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12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27: Environmental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41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28: Labour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162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29: Mineral Resources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34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30: Science And Technology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11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31: Small Business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2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32: Telecommunications and Postal Services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7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33: Tourism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8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34: Trade And Industry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41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35: Transport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24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36: Water and Sanitation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169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37: Arts And Culture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11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38: Human Settlements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19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39: Rural Development And Land Reform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79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National Departments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40: Sport And Recreation South Africa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01: Office Of The Premier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21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03: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828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04: Culture Arts And Traditional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36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05: Community Safety And Transport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52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06: Economy And Enterprise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07: Finance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16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08: Education And Sports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1 390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 xml:space="preserve">Vote 09: </w:t>
            </w: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Loc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Gov</w:t>
            </w:r>
            <w:proofErr w:type="spellEnd"/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 xml:space="preserve"> And Human Settlements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40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10: Tourism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10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11: Public Works and Roads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212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12: Social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26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 West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13: Rural Environment And Agriculture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119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01: Office Of The Premier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02: Provincial Legislature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03: Transport Safety And Liaison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04: 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748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05: Roads And Public Works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63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06: Economic Development And Tourism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07: Sport Arts And Culture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16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08: Provincial Treasury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6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09: Cooperative Governance Human Settlements And Traditional Affairs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31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10: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317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11: Social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20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12: Agriculture Land Reform And Rural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29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Northern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13: Environment And Nature Conservation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01: The Premier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34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03: Provincial Treasury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5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04: Community Safety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13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05: 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3 129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06: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1 372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07: Social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67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08: Human Settlements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17 </w:t>
            </w:r>
          </w:p>
        </w:tc>
      </w:tr>
      <w:tr w:rsidR="00B56B4D" w:rsidRPr="00B56B4D" w:rsidTr="00B56B4D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09: Environmental Affairs And Development Planning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9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10: Transport And Public Works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120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11: Agriculture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49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12: Economic Development And Tourism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  6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GB"/>
              </w:rPr>
              <w:t>Vote 13: Cultural Affairs And 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36 </w:t>
            </w:r>
          </w:p>
        </w:tc>
      </w:tr>
      <w:tr w:rsidR="00B56B4D" w:rsidRPr="00B56B4D" w:rsidTr="00B56B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Western Cape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>Vote 14: Local Government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bottom"/>
            <w:hideMark/>
          </w:tcPr>
          <w:p w:rsidR="00B56B4D" w:rsidRPr="00B56B4D" w:rsidRDefault="00B56B4D" w:rsidP="00B56B4D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B56B4D"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  16 </w:t>
            </w:r>
          </w:p>
        </w:tc>
      </w:tr>
    </w:tbl>
    <w:p w:rsidR="001548E2" w:rsidRDefault="001548E2" w:rsidP="001548E2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lang w:val="en-GB"/>
        </w:rPr>
      </w:pPr>
      <w:r w:rsidRPr="0095170C">
        <w:rPr>
          <w:rFonts w:ascii="Arial" w:eastAsia="Calibri" w:hAnsi="Arial" w:cs="Arial"/>
          <w:b/>
          <w:sz w:val="22"/>
          <w:lang w:val="en-GB"/>
        </w:rPr>
        <w:t>Notes</w:t>
      </w:r>
      <w:r>
        <w:rPr>
          <w:rFonts w:ascii="Arial" w:eastAsia="Calibri" w:hAnsi="Arial" w:cs="Arial"/>
          <w:sz w:val="22"/>
          <w:lang w:val="en-GB"/>
        </w:rPr>
        <w:t>:</w:t>
      </w:r>
    </w:p>
    <w:p w:rsidR="001548E2" w:rsidRDefault="001548E2" w:rsidP="001548E2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lang w:val="en-GB"/>
        </w:rPr>
      </w:pPr>
      <w:r>
        <w:rPr>
          <w:rFonts w:ascii="Arial" w:eastAsia="Calibri" w:hAnsi="Arial" w:cs="Arial"/>
          <w:sz w:val="22"/>
          <w:lang w:val="en-GB"/>
        </w:rPr>
        <w:t>1) Data presented as at end September 2018. South African National Defence Force data as at September 2017</w:t>
      </w:r>
    </w:p>
    <w:p w:rsidR="00A11CD8" w:rsidRPr="007663AF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CD9" w:rsidRDefault="00433C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226D" w:rsidRDefault="0011226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48E2" w:rsidRDefault="001548E2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48E2" w:rsidRDefault="001548E2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48E2" w:rsidRDefault="001548E2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CD9" w:rsidRDefault="00433C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CD9" w:rsidRDefault="00433C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CD9" w:rsidRPr="00B72E97" w:rsidRDefault="00433CD9" w:rsidP="00433CD9">
      <w:pPr>
        <w:pStyle w:val="ListParagraph"/>
        <w:numPr>
          <w:ilvl w:val="0"/>
          <w:numId w:val="6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Salary Level</w:t>
      </w: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3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14"/>
      </w:tblGrid>
      <w:tr w:rsidR="00B56B4D" w:rsidTr="00433CD9">
        <w:trPr>
          <w:trHeight w:val="900"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Salary Level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1122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 60 and older</w:t>
            </w:r>
            <w:r w:rsidR="00B56B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2 018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53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2 629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7 132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1 374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2 503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3 451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5 939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5 944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6 908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4 849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1 922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2 132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639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290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433C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98 </w:t>
            </w:r>
          </w:p>
        </w:tc>
      </w:tr>
      <w:tr w:rsidR="00B56B4D" w:rsidTr="00433C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B4D" w:rsidRDefault="00B56B4D" w:rsidP="0011226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32</w:t>
            </w:r>
            <w:r w:rsidR="0011226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548E2" w:rsidRDefault="001548E2" w:rsidP="001548E2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lang w:val="en-GB"/>
        </w:rPr>
      </w:pPr>
      <w:r w:rsidRPr="0095170C">
        <w:rPr>
          <w:rFonts w:ascii="Arial" w:eastAsia="Calibri" w:hAnsi="Arial" w:cs="Arial"/>
          <w:b/>
          <w:sz w:val="22"/>
          <w:lang w:val="en-GB"/>
        </w:rPr>
        <w:t>Notes</w:t>
      </w:r>
      <w:r>
        <w:rPr>
          <w:rFonts w:ascii="Arial" w:eastAsia="Calibri" w:hAnsi="Arial" w:cs="Arial"/>
          <w:sz w:val="22"/>
          <w:lang w:val="en-GB"/>
        </w:rPr>
        <w:t>:</w:t>
      </w:r>
    </w:p>
    <w:p w:rsidR="001548E2" w:rsidRDefault="001548E2" w:rsidP="001548E2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lang w:val="en-GB"/>
        </w:rPr>
      </w:pPr>
      <w:r>
        <w:rPr>
          <w:rFonts w:ascii="Arial" w:eastAsia="Calibri" w:hAnsi="Arial" w:cs="Arial"/>
          <w:sz w:val="22"/>
          <w:lang w:val="en-GB"/>
        </w:rPr>
        <w:t>1) Data presented as at end September 2018. South African National Defence Force data as at September 2017</w:t>
      </w:r>
    </w:p>
    <w:p w:rsidR="00DF02D9" w:rsidRDefault="00DF02D9" w:rsidP="00B56B4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1226D" w:rsidRDefault="0011226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02D9" w:rsidRDefault="00DF02D9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6085"/>
    <w:multiLevelType w:val="hybridMultilevel"/>
    <w:tmpl w:val="20E8B8B6"/>
    <w:lvl w:ilvl="0" w:tplc="7AA485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17D6"/>
    <w:multiLevelType w:val="hybridMultilevel"/>
    <w:tmpl w:val="260A966C"/>
    <w:lvl w:ilvl="0" w:tplc="7AA485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5D66"/>
    <w:multiLevelType w:val="hybridMultilevel"/>
    <w:tmpl w:val="8D6629E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6F8"/>
    <w:multiLevelType w:val="hybridMultilevel"/>
    <w:tmpl w:val="49FCA0F4"/>
    <w:lvl w:ilvl="0" w:tplc="7AA485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7FD8"/>
    <w:multiLevelType w:val="hybridMultilevel"/>
    <w:tmpl w:val="A2A4D77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42E4A"/>
    <w:rsid w:val="00063E28"/>
    <w:rsid w:val="00072EBE"/>
    <w:rsid w:val="000A03A9"/>
    <w:rsid w:val="000B5D30"/>
    <w:rsid w:val="000C2BEF"/>
    <w:rsid w:val="000C48D8"/>
    <w:rsid w:val="000D7CAB"/>
    <w:rsid w:val="000E0FF8"/>
    <w:rsid w:val="000E1B36"/>
    <w:rsid w:val="000F3B14"/>
    <w:rsid w:val="000F477D"/>
    <w:rsid w:val="0011226D"/>
    <w:rsid w:val="001433AE"/>
    <w:rsid w:val="0014441E"/>
    <w:rsid w:val="001548E2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2502D"/>
    <w:rsid w:val="00236C35"/>
    <w:rsid w:val="002855CE"/>
    <w:rsid w:val="002867DD"/>
    <w:rsid w:val="002A4157"/>
    <w:rsid w:val="002F6E86"/>
    <w:rsid w:val="00304578"/>
    <w:rsid w:val="00307402"/>
    <w:rsid w:val="003421BD"/>
    <w:rsid w:val="00344553"/>
    <w:rsid w:val="00351BF5"/>
    <w:rsid w:val="003F3C43"/>
    <w:rsid w:val="0043065E"/>
    <w:rsid w:val="00433CD9"/>
    <w:rsid w:val="00455CE1"/>
    <w:rsid w:val="0047127F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A25BC"/>
    <w:rsid w:val="00612FCD"/>
    <w:rsid w:val="00613FC6"/>
    <w:rsid w:val="00621FD7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D1766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1977"/>
    <w:rsid w:val="00852DC3"/>
    <w:rsid w:val="00876CBB"/>
    <w:rsid w:val="00891265"/>
    <w:rsid w:val="008B4E4F"/>
    <w:rsid w:val="008C2559"/>
    <w:rsid w:val="008E01C3"/>
    <w:rsid w:val="008E4142"/>
    <w:rsid w:val="009021F5"/>
    <w:rsid w:val="00911717"/>
    <w:rsid w:val="009163A5"/>
    <w:rsid w:val="00920D87"/>
    <w:rsid w:val="0095170C"/>
    <w:rsid w:val="00953363"/>
    <w:rsid w:val="0096007E"/>
    <w:rsid w:val="00993D13"/>
    <w:rsid w:val="009951EA"/>
    <w:rsid w:val="009A18A7"/>
    <w:rsid w:val="009A3C71"/>
    <w:rsid w:val="009C69F6"/>
    <w:rsid w:val="009E1AB2"/>
    <w:rsid w:val="009E357F"/>
    <w:rsid w:val="00A02200"/>
    <w:rsid w:val="00A11CD8"/>
    <w:rsid w:val="00A45FE5"/>
    <w:rsid w:val="00A509A4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649A"/>
    <w:rsid w:val="00B56B4D"/>
    <w:rsid w:val="00B72D0B"/>
    <w:rsid w:val="00B72E97"/>
    <w:rsid w:val="00B77F67"/>
    <w:rsid w:val="00B913C7"/>
    <w:rsid w:val="00B95452"/>
    <w:rsid w:val="00BC3150"/>
    <w:rsid w:val="00BD31C6"/>
    <w:rsid w:val="00BE6714"/>
    <w:rsid w:val="00BF5863"/>
    <w:rsid w:val="00C25C7E"/>
    <w:rsid w:val="00C312EA"/>
    <w:rsid w:val="00C44C35"/>
    <w:rsid w:val="00C472D6"/>
    <w:rsid w:val="00C60822"/>
    <w:rsid w:val="00C82101"/>
    <w:rsid w:val="00CB4FDB"/>
    <w:rsid w:val="00CB51AD"/>
    <w:rsid w:val="00CC2F3E"/>
    <w:rsid w:val="00D01E04"/>
    <w:rsid w:val="00D22E21"/>
    <w:rsid w:val="00D363B6"/>
    <w:rsid w:val="00D57C49"/>
    <w:rsid w:val="00D8139F"/>
    <w:rsid w:val="00DB2463"/>
    <w:rsid w:val="00DC769E"/>
    <w:rsid w:val="00DD5296"/>
    <w:rsid w:val="00DE122E"/>
    <w:rsid w:val="00DE76CB"/>
    <w:rsid w:val="00DF02D9"/>
    <w:rsid w:val="00DF0D26"/>
    <w:rsid w:val="00E42AEE"/>
    <w:rsid w:val="00E55071"/>
    <w:rsid w:val="00E60EE1"/>
    <w:rsid w:val="00E7384D"/>
    <w:rsid w:val="00E77DF6"/>
    <w:rsid w:val="00E8352B"/>
    <w:rsid w:val="00EA468F"/>
    <w:rsid w:val="00EA6A49"/>
    <w:rsid w:val="00EC4BF6"/>
    <w:rsid w:val="00ED51F7"/>
    <w:rsid w:val="00F03C60"/>
    <w:rsid w:val="00F149C8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18FB-1DD0-44E0-9875-52AEAFE6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8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2018-10-17T14:37:00Z</cp:lastPrinted>
  <dcterms:created xsi:type="dcterms:W3CDTF">2018-12-31T13:08:00Z</dcterms:created>
  <dcterms:modified xsi:type="dcterms:W3CDTF">2018-12-31T13:08:00Z</dcterms:modified>
</cp:coreProperties>
</file>