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16" w:rsidRPr="00BB101A" w:rsidRDefault="000F0C16" w:rsidP="00BB101A">
      <w:pPr>
        <w:tabs>
          <w:tab w:val="left" w:pos="432"/>
          <w:tab w:val="left" w:pos="864"/>
        </w:tabs>
        <w:spacing w:line="276" w:lineRule="auto"/>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Pr="00BB101A">
        <w:rPr>
          <w:rFonts w:ascii="Arial" w:hAnsi="Arial" w:cs="Arial"/>
          <w:b/>
        </w:rPr>
        <w:t xml:space="preserve">THE NATIONAL ASSEMBLY </w:t>
      </w:r>
    </w:p>
    <w:p w:rsidR="000F0C16" w:rsidRPr="00416C51" w:rsidRDefault="000F0C16" w:rsidP="00416C51">
      <w:pPr>
        <w:tabs>
          <w:tab w:val="left" w:pos="432"/>
          <w:tab w:val="left" w:pos="864"/>
        </w:tabs>
        <w:spacing w:line="276" w:lineRule="auto"/>
        <w:jc w:val="both"/>
        <w:rPr>
          <w:rFonts w:ascii="Arial" w:hAnsi="Arial" w:cs="Arial"/>
          <w:b/>
        </w:rPr>
      </w:pPr>
      <w:r w:rsidRPr="00BB101A">
        <w:rPr>
          <w:rFonts w:ascii="Arial" w:hAnsi="Arial" w:cs="Arial"/>
          <w:b/>
        </w:rPr>
        <w:tab/>
      </w:r>
      <w:r w:rsidRPr="00BB101A">
        <w:rPr>
          <w:rFonts w:ascii="Arial" w:hAnsi="Arial" w:cs="Arial"/>
          <w:b/>
        </w:rPr>
        <w:tab/>
        <w:t xml:space="preserve">     </w:t>
      </w:r>
      <w:r w:rsidRPr="00BB101A">
        <w:rPr>
          <w:rFonts w:ascii="Arial" w:hAnsi="Arial" w:cs="Arial"/>
          <w:b/>
        </w:rPr>
        <w:tab/>
      </w:r>
      <w:r w:rsidRPr="00BB101A">
        <w:rPr>
          <w:rFonts w:ascii="Arial" w:hAnsi="Arial" w:cs="Arial"/>
          <w:b/>
        </w:rPr>
        <w:tab/>
        <w:t xml:space="preserve">QUESTION FOR WRITTEN REPLY </w:t>
      </w:r>
    </w:p>
    <w:p w:rsidR="000F0C16" w:rsidRDefault="000F0C16" w:rsidP="00C37EED">
      <w:pPr>
        <w:spacing w:line="360" w:lineRule="auto"/>
        <w:ind w:left="720" w:hanging="720"/>
        <w:jc w:val="both"/>
        <w:rPr>
          <w:rFonts w:ascii="Arial" w:hAnsi="Arial" w:cs="Arial"/>
          <w:bCs/>
        </w:rPr>
      </w:pPr>
    </w:p>
    <w:p w:rsidR="000F0C16" w:rsidRPr="0082271E" w:rsidRDefault="000F0C16" w:rsidP="0082271E">
      <w:pPr>
        <w:spacing w:before="100" w:beforeAutospacing="1" w:after="100" w:afterAutospacing="1"/>
        <w:ind w:left="709" w:hanging="720"/>
        <w:jc w:val="both"/>
        <w:outlineLvl w:val="0"/>
        <w:rPr>
          <w:rFonts w:ascii="Arial" w:hAnsi="Arial" w:cs="Arial"/>
          <w:b/>
          <w:bCs/>
        </w:rPr>
      </w:pPr>
      <w:r w:rsidRPr="0082271E">
        <w:rPr>
          <w:rFonts w:ascii="Arial" w:hAnsi="Arial" w:cs="Arial"/>
          <w:b/>
          <w:bCs/>
        </w:rPr>
        <w:t>288.</w:t>
      </w:r>
      <w:r w:rsidRPr="0082271E">
        <w:rPr>
          <w:rFonts w:ascii="Arial" w:hAnsi="Arial" w:cs="Arial"/>
          <w:b/>
          <w:bCs/>
        </w:rPr>
        <w:tab/>
        <w:t>Adv A de W Alberts (FF Plus) to ask the Minister of Trade and Industry:†</w:t>
      </w:r>
    </w:p>
    <w:p w:rsidR="000F0C16" w:rsidRDefault="000F0C16" w:rsidP="001724D2">
      <w:pPr>
        <w:pStyle w:val="NormalWeb"/>
        <w:ind w:left="1440" w:hanging="720"/>
        <w:jc w:val="both"/>
        <w:rPr>
          <w:rFonts w:ascii="Arial" w:hAnsi="Arial" w:cs="Arial"/>
          <w:lang w:val="af-ZA"/>
        </w:rPr>
      </w:pPr>
      <w:r w:rsidRPr="0082271E">
        <w:rPr>
          <w:rFonts w:ascii="Arial" w:hAnsi="Arial" w:cs="Arial"/>
          <w:lang w:val="af-ZA"/>
        </w:rPr>
        <w:t>(1)</w:t>
      </w:r>
      <w:r w:rsidRPr="0082271E">
        <w:rPr>
          <w:rFonts w:ascii="Arial" w:hAnsi="Arial" w:cs="Arial"/>
          <w:lang w:val="af-ZA"/>
        </w:rPr>
        <w:tab/>
        <w:t xml:space="preserve">How many (a) imports and (b) exports did South Africa have during the period 1 January </w:t>
      </w:r>
      <w:r w:rsidRPr="0082271E">
        <w:rPr>
          <w:rFonts w:ascii="Arial" w:hAnsi="Arial" w:cs="Arial"/>
        </w:rPr>
        <w:t>2015</w:t>
      </w:r>
      <w:r w:rsidRPr="0082271E">
        <w:rPr>
          <w:rFonts w:ascii="Arial" w:hAnsi="Arial" w:cs="Arial"/>
          <w:lang w:val="af-ZA"/>
        </w:rPr>
        <w:t xml:space="preserve"> and 31 January 2016 in each month;</w:t>
      </w:r>
    </w:p>
    <w:p w:rsidR="000F0C16" w:rsidRDefault="000F0C16" w:rsidP="001724D2">
      <w:pPr>
        <w:spacing w:before="240" w:line="360" w:lineRule="auto"/>
        <w:ind w:left="720" w:hanging="720"/>
        <w:jc w:val="both"/>
        <w:rPr>
          <w:rFonts w:ascii="Arial" w:hAnsi="Arial" w:cs="Arial"/>
          <w:b/>
          <w:bCs/>
        </w:rPr>
      </w:pPr>
      <w:r>
        <w:rPr>
          <w:rFonts w:ascii="Arial" w:hAnsi="Arial" w:cs="Arial"/>
          <w:b/>
          <w:bCs/>
        </w:rPr>
        <w:t>Response:</w:t>
      </w:r>
    </w:p>
    <w:p w:rsidR="000F0C16" w:rsidRPr="001724D2" w:rsidRDefault="000F0C16" w:rsidP="001724D2">
      <w:pPr>
        <w:spacing w:before="240" w:line="360" w:lineRule="auto"/>
        <w:rPr>
          <w:rFonts w:ascii="Arial" w:hAnsi="Arial" w:cs="Arial"/>
          <w:b/>
          <w:bCs/>
        </w:rPr>
      </w:pPr>
      <w:r>
        <w:rPr>
          <w:rFonts w:ascii="Arial" w:hAnsi="Arial" w:cs="Arial"/>
          <w:lang w:val="af-ZA"/>
        </w:rPr>
        <w:t xml:space="preserve">The trade statistics between South Africa and the world per month for the period  </w:t>
      </w:r>
      <w:r w:rsidRPr="0082271E">
        <w:rPr>
          <w:rFonts w:ascii="Arial" w:hAnsi="Arial" w:cs="Arial"/>
          <w:lang w:val="af-ZA"/>
        </w:rPr>
        <w:t xml:space="preserve">1 January </w:t>
      </w:r>
      <w:r w:rsidRPr="0082271E">
        <w:rPr>
          <w:rFonts w:ascii="Arial" w:hAnsi="Arial" w:cs="Arial"/>
        </w:rPr>
        <w:t>2015</w:t>
      </w:r>
      <w:r w:rsidRPr="0082271E">
        <w:rPr>
          <w:rFonts w:ascii="Arial" w:hAnsi="Arial" w:cs="Arial"/>
          <w:lang w:val="af-ZA"/>
        </w:rPr>
        <w:t xml:space="preserve"> and 31 </w:t>
      </w:r>
      <w:r>
        <w:rPr>
          <w:rFonts w:ascii="Arial" w:hAnsi="Arial" w:cs="Arial"/>
          <w:lang w:val="af-ZA"/>
        </w:rPr>
        <w:t>December 2015</w:t>
      </w:r>
      <w:r w:rsidRPr="0082271E">
        <w:rPr>
          <w:rFonts w:ascii="Arial" w:hAnsi="Arial" w:cs="Arial"/>
          <w:lang w:val="af-ZA"/>
        </w:rPr>
        <w:t xml:space="preserve"> </w:t>
      </w:r>
      <w:r>
        <w:rPr>
          <w:rFonts w:ascii="Arial" w:hAnsi="Arial" w:cs="Arial"/>
          <w:lang w:val="af-ZA"/>
        </w:rPr>
        <w:t xml:space="preserve">are reflected in the table below as reflected on the dti trade statistics. </w:t>
      </w:r>
      <w:r w:rsidRPr="00001605">
        <w:rPr>
          <w:rFonts w:ascii="Arial" w:hAnsi="Arial" w:cs="Arial"/>
          <w:i/>
          <w:lang w:val="af-ZA"/>
        </w:rPr>
        <w:t>Trade statistics for Jan 2016 will only be available at the end of February 2016.</w:t>
      </w:r>
    </w:p>
    <w:tbl>
      <w:tblPr>
        <w:tblW w:w="7560" w:type="dxa"/>
        <w:tblInd w:w="93" w:type="dxa"/>
        <w:tblLook w:val="00A0"/>
      </w:tblPr>
      <w:tblGrid>
        <w:gridCol w:w="1060"/>
        <w:gridCol w:w="2000"/>
        <w:gridCol w:w="2300"/>
        <w:gridCol w:w="2200"/>
      </w:tblGrid>
      <w:tr w:rsidR="000F0C16" w:rsidTr="00EA58E2">
        <w:trPr>
          <w:trHeight w:val="588"/>
        </w:trPr>
        <w:tc>
          <w:tcPr>
            <w:tcW w:w="1060" w:type="dxa"/>
            <w:tcBorders>
              <w:top w:val="single" w:sz="8" w:space="0" w:color="auto"/>
              <w:left w:val="single" w:sz="8" w:space="0" w:color="auto"/>
              <w:bottom w:val="single" w:sz="8" w:space="0" w:color="auto"/>
              <w:right w:val="nil"/>
            </w:tcBorders>
            <w:noWrap/>
            <w:vAlign w:val="center"/>
          </w:tcPr>
          <w:p w:rsidR="000F0C16" w:rsidRDefault="000F0C16">
            <w:pPr>
              <w:jc w:val="center"/>
              <w:rPr>
                <w:rFonts w:ascii="Calibri" w:hAnsi="Calibri"/>
                <w:b/>
                <w:bCs/>
                <w:color w:val="000000"/>
                <w:sz w:val="22"/>
                <w:szCs w:val="22"/>
              </w:rPr>
            </w:pPr>
            <w:r>
              <w:rPr>
                <w:rFonts w:ascii="Calibri" w:hAnsi="Calibri"/>
                <w:b/>
                <w:bCs/>
                <w:color w:val="000000"/>
                <w:sz w:val="22"/>
                <w:szCs w:val="22"/>
              </w:rPr>
              <w:t>Period</w:t>
            </w:r>
          </w:p>
        </w:tc>
        <w:tc>
          <w:tcPr>
            <w:tcW w:w="2000" w:type="dxa"/>
            <w:tcBorders>
              <w:top w:val="single" w:sz="8" w:space="0" w:color="auto"/>
              <w:left w:val="single" w:sz="8" w:space="0" w:color="auto"/>
              <w:bottom w:val="single" w:sz="8" w:space="0" w:color="auto"/>
              <w:right w:val="single" w:sz="8" w:space="0" w:color="auto"/>
            </w:tcBorders>
            <w:vAlign w:val="center"/>
          </w:tcPr>
          <w:p w:rsidR="000F0C16" w:rsidRDefault="000F0C16">
            <w:pPr>
              <w:jc w:val="center"/>
              <w:rPr>
                <w:rFonts w:ascii="Calibri" w:hAnsi="Calibri"/>
                <w:b/>
                <w:bCs/>
                <w:color w:val="000000"/>
                <w:sz w:val="22"/>
                <w:szCs w:val="22"/>
              </w:rPr>
            </w:pPr>
            <w:r>
              <w:rPr>
                <w:rFonts w:ascii="Calibri" w:hAnsi="Calibri"/>
                <w:b/>
                <w:bCs/>
                <w:color w:val="000000"/>
                <w:sz w:val="22"/>
                <w:szCs w:val="22"/>
              </w:rPr>
              <w:t>RSA Exports To the World</w:t>
            </w:r>
          </w:p>
        </w:tc>
        <w:tc>
          <w:tcPr>
            <w:tcW w:w="2300" w:type="dxa"/>
            <w:tcBorders>
              <w:top w:val="single" w:sz="8" w:space="0" w:color="auto"/>
              <w:left w:val="nil"/>
              <w:bottom w:val="single" w:sz="8" w:space="0" w:color="auto"/>
              <w:right w:val="single" w:sz="4" w:space="0" w:color="auto"/>
            </w:tcBorders>
            <w:vAlign w:val="center"/>
          </w:tcPr>
          <w:p w:rsidR="000F0C16" w:rsidRDefault="000F0C16">
            <w:pPr>
              <w:jc w:val="center"/>
              <w:rPr>
                <w:rFonts w:ascii="Calibri" w:hAnsi="Calibri"/>
                <w:b/>
                <w:bCs/>
                <w:color w:val="000000"/>
                <w:sz w:val="22"/>
                <w:szCs w:val="22"/>
              </w:rPr>
            </w:pPr>
            <w:r>
              <w:rPr>
                <w:rFonts w:ascii="Calibri" w:hAnsi="Calibri"/>
                <w:b/>
                <w:bCs/>
                <w:color w:val="000000"/>
                <w:sz w:val="22"/>
                <w:szCs w:val="22"/>
              </w:rPr>
              <w:t>RSA Imports From the World</w:t>
            </w:r>
          </w:p>
        </w:tc>
        <w:tc>
          <w:tcPr>
            <w:tcW w:w="2200" w:type="dxa"/>
            <w:tcBorders>
              <w:top w:val="single" w:sz="8" w:space="0" w:color="auto"/>
              <w:left w:val="nil"/>
              <w:bottom w:val="single" w:sz="8" w:space="0" w:color="auto"/>
              <w:right w:val="single" w:sz="8" w:space="0" w:color="auto"/>
            </w:tcBorders>
            <w:noWrap/>
            <w:vAlign w:val="center"/>
          </w:tcPr>
          <w:p w:rsidR="000F0C16" w:rsidRDefault="000F0C16">
            <w:pPr>
              <w:jc w:val="center"/>
              <w:rPr>
                <w:rFonts w:ascii="Calibri" w:hAnsi="Calibri"/>
                <w:b/>
                <w:bCs/>
                <w:color w:val="000000"/>
                <w:sz w:val="22"/>
                <w:szCs w:val="22"/>
              </w:rPr>
            </w:pPr>
            <w:r>
              <w:rPr>
                <w:rFonts w:ascii="Calibri" w:hAnsi="Calibri"/>
                <w:b/>
                <w:bCs/>
                <w:color w:val="000000"/>
                <w:sz w:val="22"/>
                <w:szCs w:val="22"/>
              </w:rPr>
              <w:t xml:space="preserve">Trade Balance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15-Jan</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67 711 278 171.00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91 246 139 654.00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-23 534 861 483.00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15-Feb</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77 501 216 358.00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85 347 719 814.00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-7 846 503 456.00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15-Mar</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92 468 791 675.00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90 845 067 889.00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1 623 723 786.00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15-Apr</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83 770 337 974.00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86 234 008 823.00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-2 463 670 849.00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15-May</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88 363 040 731.00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83 871 362 021.00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4 491 678 710.00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15-Jun</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89 929 880 048.00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84 469 615 781.00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5 460 264 267.00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15-Jul</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93 022 192 254.00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94 161 166 050.00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-1 138 973 796.00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15-Aug</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87 255 431 865.00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97 551 304 536.00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-10 295 872 671.00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15-Sep</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91 389 099 696.00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93 130 209 473.00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-1 741 109 777.00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15-Oct</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85 298 508 022.00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107 390 729 251.00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-22 092 221 229.00 </w:t>
            </w:r>
          </w:p>
        </w:tc>
      </w:tr>
      <w:tr w:rsidR="000F0C16" w:rsidTr="00EA58E2">
        <w:trPr>
          <w:trHeight w:val="288"/>
        </w:trPr>
        <w:tc>
          <w:tcPr>
            <w:tcW w:w="1060" w:type="dxa"/>
            <w:tcBorders>
              <w:top w:val="nil"/>
              <w:left w:val="single" w:sz="8" w:space="0" w:color="auto"/>
              <w:bottom w:val="single" w:sz="4"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15-Nov</w:t>
            </w:r>
          </w:p>
        </w:tc>
        <w:tc>
          <w:tcPr>
            <w:tcW w:w="2000" w:type="dxa"/>
            <w:tcBorders>
              <w:top w:val="nil"/>
              <w:left w:val="single" w:sz="8" w:space="0" w:color="auto"/>
              <w:bottom w:val="single" w:sz="4"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93 572 841 546.00 </w:t>
            </w:r>
          </w:p>
        </w:tc>
        <w:tc>
          <w:tcPr>
            <w:tcW w:w="2300" w:type="dxa"/>
            <w:tcBorders>
              <w:top w:val="nil"/>
              <w:left w:val="nil"/>
              <w:bottom w:val="single" w:sz="4"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92 889 891 297.00 </w:t>
            </w:r>
          </w:p>
        </w:tc>
        <w:tc>
          <w:tcPr>
            <w:tcW w:w="2200" w:type="dxa"/>
            <w:tcBorders>
              <w:top w:val="nil"/>
              <w:left w:val="nil"/>
              <w:bottom w:val="single" w:sz="4"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682 950 249.00 </w:t>
            </w:r>
          </w:p>
        </w:tc>
      </w:tr>
      <w:tr w:rsidR="000F0C16" w:rsidTr="00EA58E2">
        <w:trPr>
          <w:trHeight w:val="300"/>
        </w:trPr>
        <w:tc>
          <w:tcPr>
            <w:tcW w:w="1060" w:type="dxa"/>
            <w:tcBorders>
              <w:top w:val="nil"/>
              <w:left w:val="single" w:sz="8" w:space="0" w:color="auto"/>
              <w:bottom w:val="single" w:sz="8" w:space="0" w:color="auto"/>
              <w:right w:val="nil"/>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15-Dec</w:t>
            </w:r>
          </w:p>
        </w:tc>
        <w:tc>
          <w:tcPr>
            <w:tcW w:w="2000" w:type="dxa"/>
            <w:tcBorders>
              <w:top w:val="nil"/>
              <w:left w:val="single" w:sz="8" w:space="0" w:color="auto"/>
              <w:bottom w:val="single" w:sz="8" w:space="0" w:color="auto"/>
              <w:right w:val="single" w:sz="8"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88 770 527 510.00 </w:t>
            </w:r>
          </w:p>
        </w:tc>
        <w:tc>
          <w:tcPr>
            <w:tcW w:w="2300" w:type="dxa"/>
            <w:tcBorders>
              <w:top w:val="nil"/>
              <w:left w:val="nil"/>
              <w:bottom w:val="single" w:sz="8" w:space="0" w:color="auto"/>
              <w:right w:val="single" w:sz="4" w:space="0" w:color="auto"/>
            </w:tcBorders>
            <w:noWrap/>
            <w:vAlign w:val="bottom"/>
          </w:tcPr>
          <w:p w:rsidR="000F0C16" w:rsidRDefault="000F0C16">
            <w:pPr>
              <w:jc w:val="right"/>
              <w:rPr>
                <w:rFonts w:ascii="Calibri" w:hAnsi="Calibri"/>
                <w:color w:val="000000"/>
                <w:sz w:val="22"/>
                <w:szCs w:val="22"/>
              </w:rPr>
            </w:pPr>
            <w:r>
              <w:rPr>
                <w:rFonts w:ascii="Calibri" w:hAnsi="Calibri"/>
                <w:color w:val="000000"/>
                <w:sz w:val="22"/>
                <w:szCs w:val="22"/>
              </w:rPr>
              <w:t xml:space="preserve"> R        80 549 461 697.00 </w:t>
            </w:r>
          </w:p>
        </w:tc>
        <w:tc>
          <w:tcPr>
            <w:tcW w:w="2200" w:type="dxa"/>
            <w:tcBorders>
              <w:top w:val="nil"/>
              <w:left w:val="nil"/>
              <w:bottom w:val="single" w:sz="8" w:space="0" w:color="auto"/>
              <w:right w:val="single" w:sz="8" w:space="0" w:color="auto"/>
            </w:tcBorders>
            <w:noWrap/>
            <w:vAlign w:val="bottom"/>
          </w:tcPr>
          <w:p w:rsidR="000F0C16" w:rsidRDefault="000F0C16">
            <w:pPr>
              <w:rPr>
                <w:rFonts w:ascii="Calibri" w:hAnsi="Calibri"/>
                <w:color w:val="000000"/>
                <w:sz w:val="22"/>
                <w:szCs w:val="22"/>
              </w:rPr>
            </w:pPr>
            <w:r>
              <w:rPr>
                <w:rFonts w:ascii="Calibri" w:hAnsi="Calibri"/>
                <w:color w:val="000000"/>
                <w:sz w:val="22"/>
                <w:szCs w:val="22"/>
              </w:rPr>
              <w:t xml:space="preserve"> R        8 221 065 813.00 </w:t>
            </w:r>
          </w:p>
        </w:tc>
      </w:tr>
    </w:tbl>
    <w:p w:rsidR="000F0C16" w:rsidRDefault="000F0C16" w:rsidP="007B4517">
      <w:pPr>
        <w:pStyle w:val="NormalWeb"/>
        <w:jc w:val="both"/>
        <w:rPr>
          <w:rFonts w:ascii="Arial" w:hAnsi="Arial" w:cs="Arial"/>
          <w:i/>
          <w:lang w:val="af-ZA"/>
        </w:rPr>
      </w:pPr>
    </w:p>
    <w:p w:rsidR="000F0C16" w:rsidRPr="00001605" w:rsidRDefault="000F0C16" w:rsidP="007B4517">
      <w:pPr>
        <w:pStyle w:val="NormalWeb"/>
        <w:jc w:val="both"/>
        <w:rPr>
          <w:rFonts w:ascii="Arial" w:hAnsi="Arial" w:cs="Arial"/>
          <w:i/>
          <w:lang w:val="af-ZA"/>
        </w:rPr>
      </w:pPr>
    </w:p>
    <w:p w:rsidR="000F0C16" w:rsidRDefault="000F0C16" w:rsidP="001724D2">
      <w:pPr>
        <w:pStyle w:val="NormalWeb"/>
        <w:ind w:left="1440" w:hanging="720"/>
        <w:jc w:val="both"/>
        <w:rPr>
          <w:rFonts w:ascii="Arial" w:hAnsi="Arial" w:cs="Arial"/>
          <w:lang w:val="af-ZA"/>
        </w:rPr>
      </w:pPr>
      <w:r w:rsidRPr="0082271E">
        <w:rPr>
          <w:rFonts w:ascii="Arial" w:hAnsi="Arial" w:cs="Arial"/>
          <w:lang w:val="af-ZA"/>
        </w:rPr>
        <w:t>(2)</w:t>
      </w:r>
      <w:r w:rsidRPr="0082271E">
        <w:rPr>
          <w:rFonts w:ascii="Arial" w:hAnsi="Arial" w:cs="Arial"/>
          <w:lang w:val="af-ZA"/>
        </w:rPr>
        <w:tab/>
        <w:t>how much direct foreign (a) investment and (b) disinvestment did South Africa have during the period 1 January 2015 and 31 January 2016 in each month?</w:t>
      </w:r>
      <w:r w:rsidRPr="0082271E">
        <w:rPr>
          <w:rFonts w:ascii="Arial" w:hAnsi="Arial" w:cs="Arial"/>
          <w:lang w:val="af-ZA"/>
        </w:rPr>
        <w:tab/>
        <w:t>NW296E</w:t>
      </w:r>
    </w:p>
    <w:p w:rsidR="000F0C16" w:rsidRPr="001724D2" w:rsidRDefault="000F0C16" w:rsidP="001724D2">
      <w:pPr>
        <w:spacing w:before="240" w:line="360" w:lineRule="auto"/>
        <w:ind w:left="720" w:hanging="720"/>
        <w:jc w:val="both"/>
        <w:rPr>
          <w:rFonts w:ascii="Arial" w:hAnsi="Arial" w:cs="Arial"/>
          <w:b/>
          <w:bCs/>
        </w:rPr>
      </w:pPr>
      <w:r>
        <w:rPr>
          <w:rFonts w:ascii="Arial" w:hAnsi="Arial" w:cs="Arial"/>
          <w:b/>
          <w:bCs/>
        </w:rPr>
        <w:t>Response:</w:t>
      </w:r>
    </w:p>
    <w:p w:rsidR="000F0C16" w:rsidRDefault="000F0C16" w:rsidP="00816D77">
      <w:pPr>
        <w:spacing w:before="240" w:after="240" w:line="360" w:lineRule="auto"/>
        <w:ind w:left="567" w:hanging="567"/>
        <w:jc w:val="both"/>
        <w:rPr>
          <w:rFonts w:ascii="Arial" w:hAnsi="Arial" w:cs="Arial"/>
          <w:bCs/>
        </w:rPr>
      </w:pPr>
      <w:r w:rsidRPr="0024412D">
        <w:rPr>
          <w:rFonts w:ascii="Arial" w:hAnsi="Arial" w:cs="Arial"/>
          <w:bCs/>
        </w:rPr>
        <w:t>(</w:t>
      </w:r>
      <w:r>
        <w:rPr>
          <w:rFonts w:ascii="Arial" w:hAnsi="Arial" w:cs="Arial"/>
          <w:bCs/>
        </w:rPr>
        <w:t>2</w:t>
      </w:r>
      <w:r w:rsidRPr="0024412D">
        <w:rPr>
          <w:rFonts w:ascii="Arial" w:hAnsi="Arial" w:cs="Arial"/>
          <w:bCs/>
        </w:rPr>
        <w:t xml:space="preserve">) </w:t>
      </w:r>
      <w:r>
        <w:rPr>
          <w:rFonts w:ascii="Arial" w:hAnsi="Arial" w:cs="Arial"/>
          <w:bCs/>
        </w:rPr>
        <w:tab/>
        <w:t xml:space="preserve">(a) </w:t>
      </w:r>
      <w:r w:rsidRPr="0024412D">
        <w:rPr>
          <w:rFonts w:ascii="Arial" w:hAnsi="Arial" w:cs="Arial"/>
          <w:bCs/>
        </w:rPr>
        <w:t xml:space="preserve">The </w:t>
      </w:r>
      <w:r>
        <w:rPr>
          <w:rFonts w:ascii="Arial" w:hAnsi="Arial" w:cs="Arial"/>
          <w:bCs/>
        </w:rPr>
        <w:t>recording of direct investment on the financial account is the function of the South Africa Reserve Bank. The Reserve Bank publishes such via a quarterly bulletin. The latest report covering the period up to December 2015 will only be available by the Reserve Bank in the fourth quarter bulletin later this month (March 2016).</w:t>
      </w:r>
    </w:p>
    <w:p w:rsidR="000F0C16" w:rsidRDefault="000F0C16" w:rsidP="00816D77">
      <w:pPr>
        <w:spacing w:before="240" w:after="240" w:line="360" w:lineRule="auto"/>
        <w:ind w:left="567" w:hanging="567"/>
        <w:jc w:val="both"/>
        <w:rPr>
          <w:rFonts w:ascii="Arial" w:hAnsi="Arial" w:cs="Arial"/>
          <w:bCs/>
        </w:rPr>
      </w:pPr>
      <w:r w:rsidRPr="001724D2">
        <w:rPr>
          <w:rFonts w:ascii="Arial" w:hAnsi="Arial" w:cs="Arial"/>
          <w:b/>
          <w:bCs/>
        </w:rPr>
        <w:t xml:space="preserve">         the dti</w:t>
      </w:r>
      <w:r>
        <w:rPr>
          <w:rFonts w:ascii="Arial" w:hAnsi="Arial" w:cs="Arial"/>
          <w:bCs/>
        </w:rPr>
        <w:t xml:space="preserve">  investment unit develops a pipeline of potential investment projects and for Q3 of the financial year 2015/16 recorded an investment pipeline of          R 63.7 bn. This includes commitments by Chinese President Xi Jinping during the State Visit in December 2015 to invest in infrastructure and a green fields automotive plant of $ 800 million. The pipeline includes committed investments and launches by Unilever, Hunting, AVK Valves amongst others. </w:t>
      </w:r>
    </w:p>
    <w:p w:rsidR="000F0C16" w:rsidRDefault="000F0C16" w:rsidP="00816D77">
      <w:pPr>
        <w:spacing w:before="240" w:after="240" w:line="360" w:lineRule="auto"/>
        <w:ind w:left="567" w:hanging="567"/>
        <w:jc w:val="both"/>
        <w:rPr>
          <w:rFonts w:ascii="Arial" w:hAnsi="Arial" w:cs="Arial"/>
          <w:bCs/>
        </w:rPr>
      </w:pPr>
      <w:r>
        <w:rPr>
          <w:rFonts w:ascii="Arial" w:hAnsi="Arial" w:cs="Arial"/>
          <w:bCs/>
        </w:rPr>
        <w:t xml:space="preserve">        It should be noted that Multinationals operating in South Africa generally fund their new investments and expansions from the balance sheet of their local operations and utilize local banks to raise loans rather than receive funding from their foreign headquarters.</w:t>
      </w:r>
    </w:p>
    <w:p w:rsidR="000F0C16" w:rsidRPr="008170C2" w:rsidRDefault="000F0C16" w:rsidP="008170C2">
      <w:pPr>
        <w:spacing w:before="240" w:after="240" w:line="360" w:lineRule="auto"/>
        <w:ind w:left="567" w:hanging="567"/>
        <w:jc w:val="both"/>
        <w:rPr>
          <w:rFonts w:ascii="Arial" w:hAnsi="Arial" w:cs="Arial"/>
          <w:bCs/>
        </w:rPr>
      </w:pPr>
      <w:r>
        <w:rPr>
          <w:rFonts w:ascii="Arial" w:hAnsi="Arial" w:cs="Arial"/>
          <w:bCs/>
        </w:rPr>
        <w:t xml:space="preserve">       (b) The department does not record disinvestments. Disinvestment occurs as a result of a number of factors including reactions to prevailing global and local conditions and environment and also changes in business focus. For example in the Apartheid era there was a deliberate policy by international companies to disinvest from South Africa. However there are international companies that have invested and failed and therefore closed shop eg. Evraz has put Highveld Steel into business rescue because of the depressed steel demand and low prices of steel. This is not a disinvestment but a commercial decision driven by market conditions.  </w:t>
      </w:r>
      <w:bookmarkStart w:id="0" w:name="OLE_LINK8"/>
      <w:bookmarkStart w:id="1" w:name="OLE_LINK9"/>
      <w:bookmarkStart w:id="2" w:name="OLE_LINK2"/>
      <w:bookmarkStart w:id="3" w:name="OLE_LINK1"/>
      <w:bookmarkStart w:id="4" w:name="OLE_LINK4"/>
      <w:bookmarkStart w:id="5" w:name="OLE_LINK3"/>
    </w:p>
    <w:bookmarkEnd w:id="0"/>
    <w:bookmarkEnd w:id="1"/>
    <w:bookmarkEnd w:id="2"/>
    <w:bookmarkEnd w:id="3"/>
    <w:bookmarkEnd w:id="4"/>
    <w:bookmarkEnd w:id="5"/>
    <w:p w:rsidR="000F0C16" w:rsidRDefault="000F0C16" w:rsidP="00CA344E">
      <w:pPr>
        <w:spacing w:before="240" w:after="240" w:line="360" w:lineRule="auto"/>
        <w:ind w:left="567" w:hanging="567"/>
        <w:jc w:val="both"/>
        <w:rPr>
          <w:rFonts w:ascii="Arial" w:hAnsi="Arial" w:cs="Arial"/>
          <w:b/>
          <w:bCs/>
        </w:rPr>
      </w:pPr>
    </w:p>
    <w:sectPr w:rsidR="000F0C16" w:rsidSect="00864B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5E8"/>
    <w:multiLevelType w:val="hybridMultilevel"/>
    <w:tmpl w:val="79C291F8"/>
    <w:lvl w:ilvl="0" w:tplc="629C5A7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E91623C"/>
    <w:multiLevelType w:val="hybridMultilevel"/>
    <w:tmpl w:val="D80246E0"/>
    <w:lvl w:ilvl="0" w:tplc="0BC62EE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6012B8F"/>
    <w:multiLevelType w:val="hybridMultilevel"/>
    <w:tmpl w:val="854E7FEE"/>
    <w:lvl w:ilvl="0" w:tplc="07FCB7B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F2904FF"/>
    <w:multiLevelType w:val="hybridMultilevel"/>
    <w:tmpl w:val="4BA6A248"/>
    <w:lvl w:ilvl="0" w:tplc="E0A6D4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F325E2B"/>
    <w:multiLevelType w:val="hybridMultilevel"/>
    <w:tmpl w:val="9DE4C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475"/>
    <w:rsid w:val="00001605"/>
    <w:rsid w:val="00023B52"/>
    <w:rsid w:val="00066BD5"/>
    <w:rsid w:val="000848E4"/>
    <w:rsid w:val="000A0CAF"/>
    <w:rsid w:val="000A79C8"/>
    <w:rsid w:val="000B3E19"/>
    <w:rsid w:val="000C216E"/>
    <w:rsid w:val="000F0C16"/>
    <w:rsid w:val="000F710D"/>
    <w:rsid w:val="001014F0"/>
    <w:rsid w:val="00117FA4"/>
    <w:rsid w:val="0014091D"/>
    <w:rsid w:val="00155F65"/>
    <w:rsid w:val="00165E2C"/>
    <w:rsid w:val="001724D2"/>
    <w:rsid w:val="00196A1F"/>
    <w:rsid w:val="001A5378"/>
    <w:rsid w:val="001B45CF"/>
    <w:rsid w:val="002116B8"/>
    <w:rsid w:val="002316ED"/>
    <w:rsid w:val="00232E76"/>
    <w:rsid w:val="0024412D"/>
    <w:rsid w:val="00261D23"/>
    <w:rsid w:val="00271217"/>
    <w:rsid w:val="00273F69"/>
    <w:rsid w:val="00322611"/>
    <w:rsid w:val="00372FEC"/>
    <w:rsid w:val="00393F51"/>
    <w:rsid w:val="0039631A"/>
    <w:rsid w:val="003A3E2E"/>
    <w:rsid w:val="003A45D2"/>
    <w:rsid w:val="003D03AE"/>
    <w:rsid w:val="004034DE"/>
    <w:rsid w:val="004042E2"/>
    <w:rsid w:val="00416C51"/>
    <w:rsid w:val="00427CB0"/>
    <w:rsid w:val="0043328B"/>
    <w:rsid w:val="004407EC"/>
    <w:rsid w:val="00456D26"/>
    <w:rsid w:val="00483A0B"/>
    <w:rsid w:val="004D4CFE"/>
    <w:rsid w:val="00547321"/>
    <w:rsid w:val="00551DA7"/>
    <w:rsid w:val="005E3083"/>
    <w:rsid w:val="005F23DA"/>
    <w:rsid w:val="00601FF4"/>
    <w:rsid w:val="00615754"/>
    <w:rsid w:val="006367F2"/>
    <w:rsid w:val="00643475"/>
    <w:rsid w:val="006B2977"/>
    <w:rsid w:val="00707AAC"/>
    <w:rsid w:val="007136D8"/>
    <w:rsid w:val="00733132"/>
    <w:rsid w:val="00772F4E"/>
    <w:rsid w:val="00773952"/>
    <w:rsid w:val="00782310"/>
    <w:rsid w:val="00783860"/>
    <w:rsid w:val="007A5B0F"/>
    <w:rsid w:val="007B4517"/>
    <w:rsid w:val="007C5524"/>
    <w:rsid w:val="007D12A4"/>
    <w:rsid w:val="007E4F1E"/>
    <w:rsid w:val="00816D77"/>
    <w:rsid w:val="008170C2"/>
    <w:rsid w:val="0082271E"/>
    <w:rsid w:val="00823C62"/>
    <w:rsid w:val="008357DD"/>
    <w:rsid w:val="00864B3D"/>
    <w:rsid w:val="00867A20"/>
    <w:rsid w:val="008C72C6"/>
    <w:rsid w:val="008D4FC9"/>
    <w:rsid w:val="008E6A0A"/>
    <w:rsid w:val="0095115B"/>
    <w:rsid w:val="00955F73"/>
    <w:rsid w:val="00981A69"/>
    <w:rsid w:val="00A32CE1"/>
    <w:rsid w:val="00A5405A"/>
    <w:rsid w:val="00A5434F"/>
    <w:rsid w:val="00A65FFC"/>
    <w:rsid w:val="00A817A7"/>
    <w:rsid w:val="00AC6FEA"/>
    <w:rsid w:val="00AE14CB"/>
    <w:rsid w:val="00AE583A"/>
    <w:rsid w:val="00AE6949"/>
    <w:rsid w:val="00B249DA"/>
    <w:rsid w:val="00B34EE2"/>
    <w:rsid w:val="00B4093C"/>
    <w:rsid w:val="00B8702F"/>
    <w:rsid w:val="00B900D2"/>
    <w:rsid w:val="00B96DF5"/>
    <w:rsid w:val="00B971D4"/>
    <w:rsid w:val="00BB101A"/>
    <w:rsid w:val="00BC3891"/>
    <w:rsid w:val="00BC4B09"/>
    <w:rsid w:val="00BC5F39"/>
    <w:rsid w:val="00BE0CBF"/>
    <w:rsid w:val="00C37EED"/>
    <w:rsid w:val="00C5065A"/>
    <w:rsid w:val="00C74F9E"/>
    <w:rsid w:val="00C77256"/>
    <w:rsid w:val="00C87F3E"/>
    <w:rsid w:val="00CA344E"/>
    <w:rsid w:val="00CD261F"/>
    <w:rsid w:val="00CD501F"/>
    <w:rsid w:val="00CE374D"/>
    <w:rsid w:val="00CE44BD"/>
    <w:rsid w:val="00CE5786"/>
    <w:rsid w:val="00D063CD"/>
    <w:rsid w:val="00D1362C"/>
    <w:rsid w:val="00D1470A"/>
    <w:rsid w:val="00D20579"/>
    <w:rsid w:val="00D20858"/>
    <w:rsid w:val="00D25D7B"/>
    <w:rsid w:val="00D30B3E"/>
    <w:rsid w:val="00D53143"/>
    <w:rsid w:val="00D653BA"/>
    <w:rsid w:val="00DB2A6F"/>
    <w:rsid w:val="00E15F4B"/>
    <w:rsid w:val="00E32251"/>
    <w:rsid w:val="00E4123D"/>
    <w:rsid w:val="00E61348"/>
    <w:rsid w:val="00E97598"/>
    <w:rsid w:val="00EA58E2"/>
    <w:rsid w:val="00EA7B99"/>
    <w:rsid w:val="00ED1975"/>
    <w:rsid w:val="00ED23A6"/>
    <w:rsid w:val="00EE1E2C"/>
    <w:rsid w:val="00EE3E02"/>
    <w:rsid w:val="00EF2D59"/>
    <w:rsid w:val="00F2697E"/>
    <w:rsid w:val="00F33B34"/>
    <w:rsid w:val="00F577EE"/>
    <w:rsid w:val="00F7331A"/>
    <w:rsid w:val="00F97A54"/>
    <w:rsid w:val="00FA21D9"/>
    <w:rsid w:val="00FD1DF0"/>
    <w:rsid w:val="00FD2ADB"/>
    <w:rsid w:val="00FF037B"/>
    <w:rsid w:val="00FF1F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43475"/>
    <w:pPr>
      <w:spacing w:after="120"/>
      <w:ind w:left="283"/>
    </w:pPr>
  </w:style>
  <w:style w:type="character" w:customStyle="1" w:styleId="BodyTextIndentChar">
    <w:name w:val="Body Text Indent Char"/>
    <w:basedOn w:val="DefaultParagraphFont"/>
    <w:link w:val="BodyTextIndent"/>
    <w:uiPriority w:val="99"/>
    <w:semiHidden/>
    <w:rsid w:val="000015E5"/>
    <w:rPr>
      <w:sz w:val="24"/>
      <w:szCs w:val="24"/>
    </w:rPr>
  </w:style>
  <w:style w:type="paragraph" w:styleId="BodyTextIndent2">
    <w:name w:val="Body Text Indent 2"/>
    <w:basedOn w:val="Normal"/>
    <w:link w:val="BodyTextIndent2Char"/>
    <w:uiPriority w:val="99"/>
    <w:rsid w:val="0064347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semiHidden/>
    <w:rsid w:val="000015E5"/>
    <w:rPr>
      <w:sz w:val="24"/>
      <w:szCs w:val="24"/>
    </w:rPr>
  </w:style>
  <w:style w:type="paragraph" w:styleId="BalloonText">
    <w:name w:val="Balloon Text"/>
    <w:basedOn w:val="Normal"/>
    <w:link w:val="BalloonTextChar"/>
    <w:uiPriority w:val="99"/>
    <w:semiHidden/>
    <w:rsid w:val="00B4093C"/>
    <w:rPr>
      <w:rFonts w:ascii="Tahoma" w:hAnsi="Tahoma" w:cs="Tahoma"/>
      <w:sz w:val="16"/>
      <w:szCs w:val="16"/>
    </w:rPr>
  </w:style>
  <w:style w:type="character" w:customStyle="1" w:styleId="BalloonTextChar">
    <w:name w:val="Balloon Text Char"/>
    <w:basedOn w:val="DefaultParagraphFont"/>
    <w:link w:val="BalloonText"/>
    <w:uiPriority w:val="99"/>
    <w:semiHidden/>
    <w:rsid w:val="000015E5"/>
    <w:rPr>
      <w:sz w:val="0"/>
      <w:szCs w:val="0"/>
    </w:rPr>
  </w:style>
  <w:style w:type="paragraph" w:styleId="ListParagraph">
    <w:name w:val="List Paragraph"/>
    <w:basedOn w:val="Normal"/>
    <w:uiPriority w:val="99"/>
    <w:qFormat/>
    <w:rsid w:val="000F710D"/>
    <w:pPr>
      <w:ind w:left="720"/>
    </w:pPr>
  </w:style>
  <w:style w:type="table" w:styleId="TableGrid">
    <w:name w:val="Table Grid"/>
    <w:basedOn w:val="TableNormal"/>
    <w:uiPriority w:val="99"/>
    <w:rsid w:val="00393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2271E"/>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541939157">
      <w:marLeft w:val="60"/>
      <w:marRight w:val="60"/>
      <w:marTop w:val="60"/>
      <w:marBottom w:val="15"/>
      <w:divBdr>
        <w:top w:val="none" w:sz="0" w:space="0" w:color="auto"/>
        <w:left w:val="none" w:sz="0" w:space="0" w:color="auto"/>
        <w:bottom w:val="none" w:sz="0" w:space="0" w:color="auto"/>
        <w:right w:val="none" w:sz="0" w:space="0" w:color="auto"/>
      </w:divBdr>
    </w:div>
    <w:div w:id="541939162">
      <w:marLeft w:val="0"/>
      <w:marRight w:val="0"/>
      <w:marTop w:val="0"/>
      <w:marBottom w:val="0"/>
      <w:divBdr>
        <w:top w:val="none" w:sz="0" w:space="0" w:color="auto"/>
        <w:left w:val="none" w:sz="0" w:space="0" w:color="auto"/>
        <w:bottom w:val="none" w:sz="0" w:space="0" w:color="auto"/>
        <w:right w:val="none" w:sz="0" w:space="0" w:color="auto"/>
      </w:divBdr>
    </w:div>
    <w:div w:id="541939164">
      <w:marLeft w:val="0"/>
      <w:marRight w:val="0"/>
      <w:marTop w:val="0"/>
      <w:marBottom w:val="0"/>
      <w:divBdr>
        <w:top w:val="none" w:sz="0" w:space="0" w:color="auto"/>
        <w:left w:val="none" w:sz="0" w:space="0" w:color="auto"/>
        <w:bottom w:val="none" w:sz="0" w:space="0" w:color="auto"/>
        <w:right w:val="none" w:sz="0" w:space="0" w:color="auto"/>
      </w:divBdr>
    </w:div>
    <w:div w:id="541939165">
      <w:marLeft w:val="0"/>
      <w:marRight w:val="0"/>
      <w:marTop w:val="0"/>
      <w:marBottom w:val="0"/>
      <w:divBdr>
        <w:top w:val="none" w:sz="0" w:space="0" w:color="auto"/>
        <w:left w:val="none" w:sz="0" w:space="0" w:color="auto"/>
        <w:bottom w:val="none" w:sz="0" w:space="0" w:color="auto"/>
        <w:right w:val="none" w:sz="0" w:space="0" w:color="auto"/>
      </w:divBdr>
    </w:div>
    <w:div w:id="541939175">
      <w:marLeft w:val="60"/>
      <w:marRight w:val="60"/>
      <w:marTop w:val="60"/>
      <w:marBottom w:val="15"/>
      <w:divBdr>
        <w:top w:val="none" w:sz="0" w:space="0" w:color="auto"/>
        <w:left w:val="none" w:sz="0" w:space="0" w:color="auto"/>
        <w:bottom w:val="none" w:sz="0" w:space="0" w:color="auto"/>
        <w:right w:val="none" w:sz="0" w:space="0" w:color="auto"/>
      </w:divBdr>
      <w:divsChild>
        <w:div w:id="541939154">
          <w:marLeft w:val="0"/>
          <w:marRight w:val="0"/>
          <w:marTop w:val="0"/>
          <w:marBottom w:val="0"/>
          <w:divBdr>
            <w:top w:val="none" w:sz="0" w:space="0" w:color="auto"/>
            <w:left w:val="none" w:sz="0" w:space="0" w:color="auto"/>
            <w:bottom w:val="none" w:sz="0" w:space="0" w:color="auto"/>
            <w:right w:val="none" w:sz="0" w:space="0" w:color="auto"/>
          </w:divBdr>
        </w:div>
        <w:div w:id="541939155">
          <w:marLeft w:val="0"/>
          <w:marRight w:val="0"/>
          <w:marTop w:val="0"/>
          <w:marBottom w:val="0"/>
          <w:divBdr>
            <w:top w:val="none" w:sz="0" w:space="0" w:color="auto"/>
            <w:left w:val="none" w:sz="0" w:space="0" w:color="auto"/>
            <w:bottom w:val="none" w:sz="0" w:space="0" w:color="auto"/>
            <w:right w:val="none" w:sz="0" w:space="0" w:color="auto"/>
          </w:divBdr>
        </w:div>
        <w:div w:id="541939156">
          <w:marLeft w:val="0"/>
          <w:marRight w:val="0"/>
          <w:marTop w:val="0"/>
          <w:marBottom w:val="0"/>
          <w:divBdr>
            <w:top w:val="none" w:sz="0" w:space="0" w:color="auto"/>
            <w:left w:val="none" w:sz="0" w:space="0" w:color="auto"/>
            <w:bottom w:val="none" w:sz="0" w:space="0" w:color="auto"/>
            <w:right w:val="none" w:sz="0" w:space="0" w:color="auto"/>
          </w:divBdr>
        </w:div>
        <w:div w:id="541939158">
          <w:marLeft w:val="0"/>
          <w:marRight w:val="0"/>
          <w:marTop w:val="0"/>
          <w:marBottom w:val="0"/>
          <w:divBdr>
            <w:top w:val="none" w:sz="0" w:space="0" w:color="auto"/>
            <w:left w:val="none" w:sz="0" w:space="0" w:color="auto"/>
            <w:bottom w:val="none" w:sz="0" w:space="0" w:color="auto"/>
            <w:right w:val="none" w:sz="0" w:space="0" w:color="auto"/>
          </w:divBdr>
        </w:div>
        <w:div w:id="541939159">
          <w:marLeft w:val="0"/>
          <w:marRight w:val="0"/>
          <w:marTop w:val="0"/>
          <w:marBottom w:val="0"/>
          <w:divBdr>
            <w:top w:val="none" w:sz="0" w:space="0" w:color="auto"/>
            <w:left w:val="none" w:sz="0" w:space="0" w:color="auto"/>
            <w:bottom w:val="none" w:sz="0" w:space="0" w:color="auto"/>
            <w:right w:val="none" w:sz="0" w:space="0" w:color="auto"/>
          </w:divBdr>
        </w:div>
        <w:div w:id="541939160">
          <w:marLeft w:val="0"/>
          <w:marRight w:val="0"/>
          <w:marTop w:val="0"/>
          <w:marBottom w:val="0"/>
          <w:divBdr>
            <w:top w:val="none" w:sz="0" w:space="0" w:color="auto"/>
            <w:left w:val="none" w:sz="0" w:space="0" w:color="auto"/>
            <w:bottom w:val="none" w:sz="0" w:space="0" w:color="auto"/>
            <w:right w:val="none" w:sz="0" w:space="0" w:color="auto"/>
          </w:divBdr>
        </w:div>
        <w:div w:id="541939161">
          <w:marLeft w:val="0"/>
          <w:marRight w:val="0"/>
          <w:marTop w:val="0"/>
          <w:marBottom w:val="0"/>
          <w:divBdr>
            <w:top w:val="none" w:sz="0" w:space="0" w:color="auto"/>
            <w:left w:val="none" w:sz="0" w:space="0" w:color="auto"/>
            <w:bottom w:val="none" w:sz="0" w:space="0" w:color="auto"/>
            <w:right w:val="none" w:sz="0" w:space="0" w:color="auto"/>
          </w:divBdr>
        </w:div>
        <w:div w:id="541939163">
          <w:marLeft w:val="0"/>
          <w:marRight w:val="0"/>
          <w:marTop w:val="0"/>
          <w:marBottom w:val="0"/>
          <w:divBdr>
            <w:top w:val="none" w:sz="0" w:space="0" w:color="auto"/>
            <w:left w:val="none" w:sz="0" w:space="0" w:color="auto"/>
            <w:bottom w:val="none" w:sz="0" w:space="0" w:color="auto"/>
            <w:right w:val="none" w:sz="0" w:space="0" w:color="auto"/>
          </w:divBdr>
        </w:div>
        <w:div w:id="541939166">
          <w:marLeft w:val="0"/>
          <w:marRight w:val="0"/>
          <w:marTop w:val="0"/>
          <w:marBottom w:val="0"/>
          <w:divBdr>
            <w:top w:val="none" w:sz="0" w:space="0" w:color="auto"/>
            <w:left w:val="none" w:sz="0" w:space="0" w:color="auto"/>
            <w:bottom w:val="none" w:sz="0" w:space="0" w:color="auto"/>
            <w:right w:val="none" w:sz="0" w:space="0" w:color="auto"/>
          </w:divBdr>
        </w:div>
        <w:div w:id="541939167">
          <w:marLeft w:val="0"/>
          <w:marRight w:val="0"/>
          <w:marTop w:val="0"/>
          <w:marBottom w:val="0"/>
          <w:divBdr>
            <w:top w:val="none" w:sz="0" w:space="0" w:color="auto"/>
            <w:left w:val="none" w:sz="0" w:space="0" w:color="auto"/>
            <w:bottom w:val="none" w:sz="0" w:space="0" w:color="auto"/>
            <w:right w:val="none" w:sz="0" w:space="0" w:color="auto"/>
          </w:divBdr>
        </w:div>
        <w:div w:id="541939168">
          <w:marLeft w:val="0"/>
          <w:marRight w:val="0"/>
          <w:marTop w:val="0"/>
          <w:marBottom w:val="0"/>
          <w:divBdr>
            <w:top w:val="none" w:sz="0" w:space="0" w:color="auto"/>
            <w:left w:val="none" w:sz="0" w:space="0" w:color="auto"/>
            <w:bottom w:val="none" w:sz="0" w:space="0" w:color="auto"/>
            <w:right w:val="none" w:sz="0" w:space="0" w:color="auto"/>
          </w:divBdr>
        </w:div>
        <w:div w:id="541939169">
          <w:marLeft w:val="0"/>
          <w:marRight w:val="0"/>
          <w:marTop w:val="0"/>
          <w:marBottom w:val="0"/>
          <w:divBdr>
            <w:top w:val="none" w:sz="0" w:space="0" w:color="auto"/>
            <w:left w:val="none" w:sz="0" w:space="0" w:color="auto"/>
            <w:bottom w:val="none" w:sz="0" w:space="0" w:color="auto"/>
            <w:right w:val="none" w:sz="0" w:space="0" w:color="auto"/>
          </w:divBdr>
        </w:div>
        <w:div w:id="541939170">
          <w:marLeft w:val="0"/>
          <w:marRight w:val="0"/>
          <w:marTop w:val="0"/>
          <w:marBottom w:val="0"/>
          <w:divBdr>
            <w:top w:val="none" w:sz="0" w:space="0" w:color="auto"/>
            <w:left w:val="none" w:sz="0" w:space="0" w:color="auto"/>
            <w:bottom w:val="none" w:sz="0" w:space="0" w:color="auto"/>
            <w:right w:val="none" w:sz="0" w:space="0" w:color="auto"/>
          </w:divBdr>
        </w:div>
        <w:div w:id="541939171">
          <w:marLeft w:val="0"/>
          <w:marRight w:val="0"/>
          <w:marTop w:val="0"/>
          <w:marBottom w:val="0"/>
          <w:divBdr>
            <w:top w:val="none" w:sz="0" w:space="0" w:color="auto"/>
            <w:left w:val="none" w:sz="0" w:space="0" w:color="auto"/>
            <w:bottom w:val="none" w:sz="0" w:space="0" w:color="auto"/>
            <w:right w:val="none" w:sz="0" w:space="0" w:color="auto"/>
          </w:divBdr>
        </w:div>
        <w:div w:id="541939172">
          <w:marLeft w:val="0"/>
          <w:marRight w:val="0"/>
          <w:marTop w:val="0"/>
          <w:marBottom w:val="0"/>
          <w:divBdr>
            <w:top w:val="none" w:sz="0" w:space="0" w:color="auto"/>
            <w:left w:val="none" w:sz="0" w:space="0" w:color="auto"/>
            <w:bottom w:val="none" w:sz="0" w:space="0" w:color="auto"/>
            <w:right w:val="none" w:sz="0" w:space="0" w:color="auto"/>
          </w:divBdr>
        </w:div>
        <w:div w:id="541939173">
          <w:marLeft w:val="0"/>
          <w:marRight w:val="0"/>
          <w:marTop w:val="0"/>
          <w:marBottom w:val="0"/>
          <w:divBdr>
            <w:top w:val="none" w:sz="0" w:space="0" w:color="auto"/>
            <w:left w:val="none" w:sz="0" w:space="0" w:color="auto"/>
            <w:bottom w:val="none" w:sz="0" w:space="0" w:color="auto"/>
            <w:right w:val="none" w:sz="0" w:space="0" w:color="auto"/>
          </w:divBdr>
        </w:div>
        <w:div w:id="54193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537</Words>
  <Characters>3066</Characters>
  <Application>Microsoft Office Outlook</Application>
  <DocSecurity>0</DocSecurity>
  <Lines>0</Lines>
  <Paragraphs>0</Paragraphs>
  <ScaleCrop>false</ScaleCrop>
  <Company>the dti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RFrost</dc:creator>
  <cp:keywords/>
  <dc:description/>
  <cp:lastModifiedBy>schuene</cp:lastModifiedBy>
  <cp:revision>2</cp:revision>
  <cp:lastPrinted>2016-02-24T12:50:00Z</cp:lastPrinted>
  <dcterms:created xsi:type="dcterms:W3CDTF">2016-02-25T07:07:00Z</dcterms:created>
  <dcterms:modified xsi:type="dcterms:W3CDTF">2016-02-25T07:07:00Z</dcterms:modified>
</cp:coreProperties>
</file>