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917E3">
        <w:rPr>
          <w:b/>
          <w:bCs/>
          <w:sz w:val="24"/>
          <w:u w:val="single"/>
        </w:rPr>
        <w:t>286</w:t>
      </w:r>
      <w:r w:rsidR="00437F26">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437F26" w:rsidRPr="00437F26" w:rsidRDefault="00437F26" w:rsidP="00437F26">
      <w:pPr>
        <w:spacing w:before="100" w:beforeAutospacing="1" w:after="100" w:afterAutospacing="1"/>
        <w:ind w:left="720" w:hanging="720"/>
        <w:jc w:val="both"/>
        <w:outlineLvl w:val="0"/>
        <w:rPr>
          <w:b/>
          <w:sz w:val="24"/>
          <w:u w:val="single"/>
        </w:rPr>
      </w:pPr>
      <w:r w:rsidRPr="00437F26">
        <w:rPr>
          <w:b/>
          <w:sz w:val="24"/>
          <w:u w:val="single"/>
        </w:rPr>
        <w:t xml:space="preserve">Ms S P </w:t>
      </w:r>
      <w:proofErr w:type="spellStart"/>
      <w:r w:rsidRPr="00437F26">
        <w:rPr>
          <w:b/>
          <w:sz w:val="24"/>
          <w:u w:val="single"/>
        </w:rPr>
        <w:t>Kopane</w:t>
      </w:r>
      <w:proofErr w:type="spellEnd"/>
      <w:r w:rsidRPr="00437F26">
        <w:rPr>
          <w:b/>
          <w:sz w:val="24"/>
          <w:u w:val="single"/>
        </w:rPr>
        <w:t xml:space="preserve"> (DA) to ask the Minister of Health:</w:t>
      </w:r>
    </w:p>
    <w:p w:rsidR="00437F26" w:rsidRPr="00437F26" w:rsidRDefault="00437F26" w:rsidP="00437F26">
      <w:pPr>
        <w:spacing w:before="100" w:beforeAutospacing="1" w:after="100" w:afterAutospacing="1"/>
        <w:ind w:left="720" w:hanging="720"/>
        <w:jc w:val="both"/>
        <w:rPr>
          <w:sz w:val="24"/>
        </w:rPr>
      </w:pPr>
      <w:r w:rsidRPr="00437F26">
        <w:rPr>
          <w:color w:val="333333"/>
          <w:sz w:val="24"/>
        </w:rPr>
        <w:t>(1)</w:t>
      </w:r>
      <w:r w:rsidRPr="00437F26">
        <w:rPr>
          <w:color w:val="333333"/>
          <w:sz w:val="24"/>
        </w:rPr>
        <w:tab/>
        <w:t>(a</w:t>
      </w:r>
      <w:r w:rsidRPr="00437F26">
        <w:rPr>
          <w:sz w:val="24"/>
        </w:rPr>
        <w:t xml:space="preserve">) What is the total number of investigations that were conducted at the </w:t>
      </w:r>
      <w:proofErr w:type="spellStart"/>
      <w:r w:rsidRPr="00437F26">
        <w:rPr>
          <w:sz w:val="24"/>
        </w:rPr>
        <w:t>Komani</w:t>
      </w:r>
      <w:proofErr w:type="spellEnd"/>
      <w:r w:rsidRPr="00437F26">
        <w:rPr>
          <w:sz w:val="24"/>
        </w:rPr>
        <w:t xml:space="preserve"> Psychiatric Hospital in Queenstown in the Eastern Cape for corruption and maladministration (</w:t>
      </w:r>
      <w:proofErr w:type="spellStart"/>
      <w:r w:rsidRPr="00437F26">
        <w:rPr>
          <w:sz w:val="24"/>
        </w:rPr>
        <w:t>i</w:t>
      </w:r>
      <w:proofErr w:type="spellEnd"/>
      <w:r w:rsidRPr="00437F26">
        <w:rPr>
          <w:sz w:val="24"/>
        </w:rPr>
        <w:t>) in the past three financial years and (ii) since 1 April 2018 and (b) of the investigations, what number was conducted internally, by the Office of the Public Protector, by the SA Police Service, by the Special Investigating Unit and by external private sector entities;</w:t>
      </w:r>
    </w:p>
    <w:p w:rsidR="00437F26" w:rsidRPr="00437F26" w:rsidRDefault="00437F26" w:rsidP="00437F26">
      <w:pPr>
        <w:spacing w:before="100" w:beforeAutospacing="1" w:after="100" w:afterAutospacing="1"/>
        <w:ind w:left="720" w:hanging="720"/>
        <w:jc w:val="both"/>
        <w:rPr>
          <w:sz w:val="24"/>
        </w:rPr>
      </w:pPr>
      <w:r w:rsidRPr="00437F26">
        <w:rPr>
          <w:color w:val="333333"/>
          <w:sz w:val="24"/>
        </w:rPr>
        <w:t>(2)</w:t>
      </w:r>
      <w:r w:rsidRPr="00437F26">
        <w:rPr>
          <w:color w:val="333333"/>
          <w:sz w:val="24"/>
        </w:rPr>
        <w:tab/>
        <w:t>(a</w:t>
      </w:r>
      <w:r w:rsidRPr="00437F26">
        <w:rPr>
          <w:sz w:val="24"/>
        </w:rPr>
        <w:t>) what is the name of each member of the senior management team employed at the specified hospital that has been subjected to disciplinary processes (</w:t>
      </w:r>
      <w:proofErr w:type="spellStart"/>
      <w:r w:rsidRPr="00437F26">
        <w:rPr>
          <w:sz w:val="24"/>
        </w:rPr>
        <w:t>i</w:t>
      </w:r>
      <w:proofErr w:type="spellEnd"/>
      <w:r w:rsidRPr="00437F26">
        <w:rPr>
          <w:sz w:val="24"/>
        </w:rPr>
        <w:t>) in the past three financial years and (ii) since 1 April 2018 and (b) what is the outcome of each case;</w:t>
      </w:r>
    </w:p>
    <w:p w:rsidR="00437F26" w:rsidRPr="00437F26" w:rsidRDefault="00437F26" w:rsidP="00437F26">
      <w:pPr>
        <w:spacing w:before="100" w:beforeAutospacing="1" w:after="100" w:afterAutospacing="1"/>
        <w:ind w:left="720" w:hanging="720"/>
        <w:jc w:val="both"/>
        <w:rPr>
          <w:sz w:val="24"/>
        </w:rPr>
      </w:pPr>
      <w:r w:rsidRPr="00437F26">
        <w:rPr>
          <w:color w:val="333333"/>
          <w:sz w:val="24"/>
        </w:rPr>
        <w:t>(3)</w:t>
      </w:r>
      <w:r w:rsidRPr="00437F26">
        <w:rPr>
          <w:color w:val="333333"/>
          <w:sz w:val="24"/>
        </w:rPr>
        <w:tab/>
        <w:t>(</w:t>
      </w:r>
      <w:r w:rsidRPr="00437F26">
        <w:rPr>
          <w:sz w:val="24"/>
        </w:rPr>
        <w:t>a) what is the name of each medical professional at the specified hospital that has been subjected to disciplinary processes in the (</w:t>
      </w:r>
      <w:proofErr w:type="spellStart"/>
      <w:r w:rsidRPr="00437F26">
        <w:rPr>
          <w:sz w:val="24"/>
        </w:rPr>
        <w:t>i</w:t>
      </w:r>
      <w:proofErr w:type="spellEnd"/>
      <w:r w:rsidRPr="00437F26">
        <w:rPr>
          <w:sz w:val="24"/>
        </w:rPr>
        <w:t>) past three financial years and (ii) since 1 April 2018 and (b) what is the outcome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437F26">
        <w:rPr>
          <w:color w:val="000000"/>
        </w:rPr>
        <w:t>171</w:t>
      </w:r>
      <w:r w:rsidR="00590E40">
        <w:rPr>
          <w:color w:val="000000"/>
        </w:rPr>
        <w:t>E</w:t>
      </w:r>
      <w:r w:rsidR="00E238C2">
        <w:rPr>
          <w:color w:val="000000"/>
          <w:szCs w:val="20"/>
        </w:rPr>
        <w:t xml:space="preserve"> </w:t>
      </w:r>
    </w:p>
    <w:p w:rsidR="00836775" w:rsidRDefault="00E238C2" w:rsidP="008743D4">
      <w:pPr>
        <w:rPr>
          <w:b/>
          <w:bCs/>
          <w:sz w:val="24"/>
          <w:u w:val="single"/>
          <w:lang w:val="en-US"/>
        </w:rPr>
      </w:pPr>
      <w:r w:rsidRPr="0034705D">
        <w:rPr>
          <w:b/>
          <w:bCs/>
          <w:sz w:val="24"/>
          <w:u w:val="single"/>
          <w:lang w:val="en-US"/>
        </w:rPr>
        <w:t>REPLY:</w:t>
      </w:r>
      <w:bookmarkStart w:id="0" w:name="_GoBack"/>
      <w:bookmarkEnd w:id="0"/>
    </w:p>
    <w:p w:rsidR="00AD17B1" w:rsidRDefault="00AD17B1" w:rsidP="008743D4">
      <w:pPr>
        <w:rPr>
          <w:b/>
          <w:bCs/>
          <w:sz w:val="24"/>
          <w:u w:val="single"/>
          <w:lang w:val="en-US"/>
        </w:rPr>
      </w:pPr>
    </w:p>
    <w:p w:rsidR="00AD17B1" w:rsidRPr="00AD17B1" w:rsidRDefault="00AD17B1" w:rsidP="00AD17B1">
      <w:pPr>
        <w:rPr>
          <w:bCs/>
          <w:sz w:val="24"/>
          <w:lang w:val="en-US"/>
        </w:rPr>
      </w:pPr>
      <w:r w:rsidRPr="00AD17B1">
        <w:rPr>
          <w:bCs/>
          <w:sz w:val="24"/>
          <w:lang w:val="en-US"/>
        </w:rPr>
        <w:t>(1)</w:t>
      </w:r>
      <w:r w:rsidRPr="00AD17B1">
        <w:rPr>
          <w:bCs/>
          <w:sz w:val="24"/>
          <w:lang w:val="en-US"/>
        </w:rPr>
        <w:tab/>
      </w:r>
      <w:r>
        <w:rPr>
          <w:bCs/>
          <w:sz w:val="24"/>
          <w:lang w:val="en-US"/>
        </w:rPr>
        <w:t>(a)</w:t>
      </w:r>
      <w:r>
        <w:rPr>
          <w:bCs/>
          <w:sz w:val="24"/>
          <w:lang w:val="en-US"/>
        </w:rPr>
        <w:tab/>
      </w:r>
      <w:r w:rsidRPr="00AD17B1">
        <w:rPr>
          <w:bCs/>
          <w:sz w:val="24"/>
          <w:lang w:val="en-US"/>
        </w:rPr>
        <w:t>The following table reflects the details in this regard</w:t>
      </w:r>
    </w:p>
    <w:p w:rsidR="00AD17B1" w:rsidRPr="00AD17B1" w:rsidRDefault="00AD17B1" w:rsidP="008743D4">
      <w:pPr>
        <w:rPr>
          <w:bCs/>
          <w:sz w:val="24"/>
          <w:lang w:val="en-US"/>
        </w:rPr>
      </w:pPr>
    </w:p>
    <w:tbl>
      <w:tblPr>
        <w:tblStyle w:val="TableGrid"/>
        <w:tblW w:w="9592" w:type="dxa"/>
        <w:tblInd w:w="828" w:type="dxa"/>
        <w:tblLook w:val="04A0"/>
      </w:tblPr>
      <w:tblGrid>
        <w:gridCol w:w="720"/>
        <w:gridCol w:w="4230"/>
        <w:gridCol w:w="2238"/>
        <w:gridCol w:w="2404"/>
      </w:tblGrid>
      <w:tr w:rsidR="00AD17B1" w:rsidRPr="00AD17B1" w:rsidTr="00AD17B1">
        <w:tc>
          <w:tcPr>
            <w:tcW w:w="720" w:type="dxa"/>
            <w:vMerge w:val="restart"/>
            <w:tcBorders>
              <w:top w:val="nil"/>
              <w:left w:val="nil"/>
            </w:tcBorders>
          </w:tcPr>
          <w:p w:rsidR="00AD17B1" w:rsidRPr="00AD17B1" w:rsidRDefault="00AD17B1" w:rsidP="00AD17B1">
            <w:pPr>
              <w:spacing w:before="100" w:beforeAutospacing="1" w:after="100" w:afterAutospacing="1"/>
              <w:jc w:val="both"/>
              <w:rPr>
                <w:sz w:val="24"/>
              </w:rPr>
            </w:pPr>
          </w:p>
        </w:tc>
        <w:tc>
          <w:tcPr>
            <w:tcW w:w="4230" w:type="dxa"/>
          </w:tcPr>
          <w:p w:rsidR="00AD17B1" w:rsidRPr="00AD17B1" w:rsidRDefault="00AD17B1" w:rsidP="00AD17B1">
            <w:pPr>
              <w:spacing w:before="100" w:beforeAutospacing="1" w:after="100" w:afterAutospacing="1"/>
              <w:jc w:val="both"/>
              <w:rPr>
                <w:b/>
                <w:sz w:val="24"/>
              </w:rPr>
            </w:pPr>
            <w:r w:rsidRPr="00AD17B1">
              <w:rPr>
                <w:b/>
                <w:sz w:val="24"/>
              </w:rPr>
              <w:t>Total number of investigations for period</w:t>
            </w:r>
          </w:p>
        </w:tc>
        <w:tc>
          <w:tcPr>
            <w:tcW w:w="2238" w:type="dxa"/>
          </w:tcPr>
          <w:p w:rsidR="00AD17B1" w:rsidRPr="00AD17B1" w:rsidRDefault="00AD17B1" w:rsidP="00AD17B1">
            <w:pPr>
              <w:spacing w:before="100" w:beforeAutospacing="1" w:after="100" w:afterAutospacing="1"/>
              <w:jc w:val="both"/>
              <w:rPr>
                <w:b/>
                <w:sz w:val="24"/>
              </w:rPr>
            </w:pPr>
            <w:r w:rsidRPr="00AD17B1">
              <w:rPr>
                <w:b/>
                <w:sz w:val="24"/>
              </w:rPr>
              <w:t xml:space="preserve">Corruption </w:t>
            </w:r>
          </w:p>
          <w:p w:rsidR="00AD17B1" w:rsidRPr="00AD17B1" w:rsidRDefault="00AD17B1" w:rsidP="00AD17B1">
            <w:pPr>
              <w:spacing w:before="100" w:beforeAutospacing="1" w:after="100" w:afterAutospacing="1"/>
              <w:jc w:val="both"/>
              <w:rPr>
                <w:b/>
                <w:sz w:val="24"/>
              </w:rPr>
            </w:pPr>
            <w:r w:rsidRPr="00AD17B1">
              <w:rPr>
                <w:b/>
                <w:sz w:val="24"/>
              </w:rPr>
              <w:t>(</w:t>
            </w:r>
            <w:proofErr w:type="spellStart"/>
            <w:r w:rsidRPr="00AD17B1">
              <w:rPr>
                <w:b/>
                <w:sz w:val="24"/>
              </w:rPr>
              <w:t>i</w:t>
            </w:r>
            <w:proofErr w:type="spellEnd"/>
            <w:r w:rsidRPr="00AD17B1">
              <w:rPr>
                <w:b/>
                <w:sz w:val="24"/>
              </w:rPr>
              <w:t>)</w:t>
            </w:r>
          </w:p>
        </w:tc>
        <w:tc>
          <w:tcPr>
            <w:tcW w:w="2404" w:type="dxa"/>
          </w:tcPr>
          <w:p w:rsidR="00AD17B1" w:rsidRPr="00AD17B1" w:rsidRDefault="00AD17B1" w:rsidP="00AD17B1">
            <w:pPr>
              <w:spacing w:before="100" w:beforeAutospacing="1" w:after="100" w:afterAutospacing="1"/>
              <w:jc w:val="both"/>
              <w:rPr>
                <w:b/>
                <w:sz w:val="24"/>
              </w:rPr>
            </w:pPr>
            <w:r w:rsidRPr="00AD17B1">
              <w:rPr>
                <w:b/>
                <w:sz w:val="24"/>
              </w:rPr>
              <w:t>Maladministration</w:t>
            </w:r>
          </w:p>
          <w:p w:rsidR="00AD17B1" w:rsidRPr="00AD17B1" w:rsidRDefault="00AD17B1" w:rsidP="00AD17B1">
            <w:pPr>
              <w:spacing w:before="100" w:beforeAutospacing="1" w:after="100" w:afterAutospacing="1"/>
              <w:jc w:val="both"/>
              <w:rPr>
                <w:b/>
                <w:sz w:val="24"/>
              </w:rPr>
            </w:pPr>
            <w:r w:rsidRPr="00AD17B1">
              <w:rPr>
                <w:b/>
                <w:sz w:val="24"/>
              </w:rPr>
              <w:t>(ii)</w:t>
            </w:r>
          </w:p>
        </w:tc>
      </w:tr>
      <w:tr w:rsidR="00AD17B1" w:rsidRPr="00AD17B1" w:rsidTr="00AD17B1">
        <w:tc>
          <w:tcPr>
            <w:tcW w:w="720" w:type="dxa"/>
            <w:vMerge/>
            <w:tcBorders>
              <w:left w:val="nil"/>
            </w:tcBorders>
          </w:tcPr>
          <w:p w:rsidR="00AD17B1" w:rsidRPr="00AD17B1" w:rsidRDefault="00AD17B1" w:rsidP="00AD17B1">
            <w:pPr>
              <w:spacing w:before="100" w:beforeAutospacing="1" w:after="100" w:afterAutospacing="1"/>
              <w:jc w:val="both"/>
              <w:rPr>
                <w:sz w:val="24"/>
              </w:rPr>
            </w:pPr>
          </w:p>
        </w:tc>
        <w:tc>
          <w:tcPr>
            <w:tcW w:w="4230" w:type="dxa"/>
          </w:tcPr>
          <w:p w:rsidR="00AD17B1" w:rsidRPr="00AD17B1" w:rsidRDefault="00AD17B1" w:rsidP="00AD17B1">
            <w:pPr>
              <w:spacing w:before="100" w:beforeAutospacing="1" w:after="100" w:afterAutospacing="1"/>
              <w:jc w:val="both"/>
              <w:rPr>
                <w:sz w:val="24"/>
              </w:rPr>
            </w:pPr>
            <w:r w:rsidRPr="00AD17B1">
              <w:rPr>
                <w:sz w:val="24"/>
              </w:rPr>
              <w:t>Financial Year 2014/15</w:t>
            </w:r>
          </w:p>
        </w:tc>
        <w:tc>
          <w:tcPr>
            <w:tcW w:w="2238" w:type="dxa"/>
          </w:tcPr>
          <w:p w:rsidR="00AD17B1" w:rsidRPr="00AD17B1" w:rsidRDefault="00AD17B1" w:rsidP="00AD17B1">
            <w:pPr>
              <w:spacing w:before="100" w:beforeAutospacing="1" w:after="100" w:afterAutospacing="1"/>
              <w:jc w:val="both"/>
              <w:rPr>
                <w:sz w:val="24"/>
              </w:rPr>
            </w:pPr>
            <w:r w:rsidRPr="00AD17B1">
              <w:rPr>
                <w:sz w:val="24"/>
              </w:rPr>
              <w:t>None</w:t>
            </w:r>
          </w:p>
        </w:tc>
        <w:tc>
          <w:tcPr>
            <w:tcW w:w="2404" w:type="dxa"/>
          </w:tcPr>
          <w:p w:rsidR="00AD17B1" w:rsidRPr="00AD17B1" w:rsidRDefault="00AD17B1" w:rsidP="00AD17B1">
            <w:pPr>
              <w:spacing w:before="100" w:beforeAutospacing="1" w:after="100" w:afterAutospacing="1"/>
              <w:jc w:val="both"/>
              <w:rPr>
                <w:sz w:val="24"/>
              </w:rPr>
            </w:pPr>
            <w:r w:rsidRPr="00AD17B1">
              <w:rPr>
                <w:sz w:val="24"/>
              </w:rPr>
              <w:t>None</w:t>
            </w:r>
          </w:p>
        </w:tc>
      </w:tr>
      <w:tr w:rsidR="00AD17B1" w:rsidRPr="00AD17B1" w:rsidTr="00AD17B1">
        <w:tc>
          <w:tcPr>
            <w:tcW w:w="720" w:type="dxa"/>
            <w:vMerge/>
            <w:tcBorders>
              <w:left w:val="nil"/>
            </w:tcBorders>
          </w:tcPr>
          <w:p w:rsidR="00AD17B1" w:rsidRPr="00AD17B1" w:rsidRDefault="00AD17B1" w:rsidP="00AD17B1">
            <w:pPr>
              <w:spacing w:before="100" w:beforeAutospacing="1" w:after="100" w:afterAutospacing="1"/>
              <w:jc w:val="both"/>
              <w:rPr>
                <w:sz w:val="24"/>
              </w:rPr>
            </w:pPr>
          </w:p>
        </w:tc>
        <w:tc>
          <w:tcPr>
            <w:tcW w:w="4230" w:type="dxa"/>
          </w:tcPr>
          <w:p w:rsidR="00AD17B1" w:rsidRPr="00AD17B1" w:rsidRDefault="00AD17B1" w:rsidP="00AD17B1">
            <w:pPr>
              <w:spacing w:before="100" w:beforeAutospacing="1" w:after="100" w:afterAutospacing="1"/>
              <w:jc w:val="both"/>
              <w:rPr>
                <w:sz w:val="24"/>
              </w:rPr>
            </w:pPr>
            <w:r w:rsidRPr="00AD17B1">
              <w:rPr>
                <w:sz w:val="24"/>
              </w:rPr>
              <w:t>Financial Year 2015/16</w:t>
            </w:r>
          </w:p>
        </w:tc>
        <w:tc>
          <w:tcPr>
            <w:tcW w:w="2238" w:type="dxa"/>
          </w:tcPr>
          <w:p w:rsidR="00AD17B1" w:rsidRPr="00AD17B1" w:rsidRDefault="00AD17B1" w:rsidP="00AD17B1">
            <w:pPr>
              <w:spacing w:before="100" w:beforeAutospacing="1" w:after="100" w:afterAutospacing="1"/>
              <w:jc w:val="both"/>
              <w:rPr>
                <w:sz w:val="24"/>
              </w:rPr>
            </w:pPr>
            <w:r w:rsidRPr="00AD17B1">
              <w:rPr>
                <w:sz w:val="24"/>
              </w:rPr>
              <w:t>None</w:t>
            </w:r>
          </w:p>
        </w:tc>
        <w:tc>
          <w:tcPr>
            <w:tcW w:w="2404" w:type="dxa"/>
          </w:tcPr>
          <w:p w:rsidR="00AD17B1" w:rsidRPr="00AD17B1" w:rsidRDefault="00AD17B1" w:rsidP="00AD17B1">
            <w:pPr>
              <w:spacing w:before="100" w:beforeAutospacing="1" w:after="100" w:afterAutospacing="1"/>
              <w:jc w:val="both"/>
              <w:rPr>
                <w:sz w:val="24"/>
              </w:rPr>
            </w:pPr>
            <w:r w:rsidRPr="00AD17B1">
              <w:rPr>
                <w:sz w:val="24"/>
              </w:rPr>
              <w:t>None</w:t>
            </w:r>
          </w:p>
        </w:tc>
      </w:tr>
      <w:tr w:rsidR="00AD17B1" w:rsidRPr="00AD17B1" w:rsidTr="00AD17B1">
        <w:tc>
          <w:tcPr>
            <w:tcW w:w="720" w:type="dxa"/>
            <w:vMerge/>
            <w:tcBorders>
              <w:left w:val="nil"/>
            </w:tcBorders>
          </w:tcPr>
          <w:p w:rsidR="00AD17B1" w:rsidRPr="00AD17B1" w:rsidRDefault="00AD17B1" w:rsidP="00AD17B1">
            <w:pPr>
              <w:spacing w:before="100" w:beforeAutospacing="1" w:after="100" w:afterAutospacing="1"/>
              <w:jc w:val="both"/>
              <w:rPr>
                <w:sz w:val="24"/>
              </w:rPr>
            </w:pPr>
          </w:p>
        </w:tc>
        <w:tc>
          <w:tcPr>
            <w:tcW w:w="4230" w:type="dxa"/>
          </w:tcPr>
          <w:p w:rsidR="00AD17B1" w:rsidRPr="00AD17B1" w:rsidRDefault="00AD17B1" w:rsidP="00AD17B1">
            <w:pPr>
              <w:spacing w:before="100" w:beforeAutospacing="1" w:after="100" w:afterAutospacing="1"/>
              <w:jc w:val="both"/>
              <w:rPr>
                <w:sz w:val="24"/>
              </w:rPr>
            </w:pPr>
            <w:r w:rsidRPr="00AD17B1">
              <w:rPr>
                <w:sz w:val="24"/>
              </w:rPr>
              <w:t>Financial Year 2016/17</w:t>
            </w:r>
          </w:p>
        </w:tc>
        <w:tc>
          <w:tcPr>
            <w:tcW w:w="2238" w:type="dxa"/>
          </w:tcPr>
          <w:p w:rsidR="00AD17B1" w:rsidRPr="00AD17B1" w:rsidRDefault="00AD17B1" w:rsidP="00AD17B1">
            <w:pPr>
              <w:spacing w:before="100" w:beforeAutospacing="1" w:after="100" w:afterAutospacing="1"/>
              <w:jc w:val="both"/>
              <w:rPr>
                <w:sz w:val="24"/>
              </w:rPr>
            </w:pPr>
            <w:r w:rsidRPr="00AD17B1">
              <w:rPr>
                <w:sz w:val="24"/>
              </w:rPr>
              <w:t>None</w:t>
            </w:r>
          </w:p>
        </w:tc>
        <w:tc>
          <w:tcPr>
            <w:tcW w:w="2404" w:type="dxa"/>
          </w:tcPr>
          <w:p w:rsidR="00AD17B1" w:rsidRPr="00AD17B1" w:rsidRDefault="00AD17B1" w:rsidP="00AD17B1">
            <w:pPr>
              <w:spacing w:before="100" w:beforeAutospacing="1" w:after="100" w:afterAutospacing="1"/>
              <w:jc w:val="both"/>
              <w:rPr>
                <w:sz w:val="24"/>
              </w:rPr>
            </w:pPr>
            <w:r w:rsidRPr="00AD17B1">
              <w:rPr>
                <w:sz w:val="24"/>
              </w:rPr>
              <w:t>None</w:t>
            </w:r>
          </w:p>
        </w:tc>
      </w:tr>
      <w:tr w:rsidR="00AD17B1" w:rsidRPr="00AD17B1" w:rsidTr="00AD17B1">
        <w:tc>
          <w:tcPr>
            <w:tcW w:w="720" w:type="dxa"/>
            <w:vMerge/>
            <w:tcBorders>
              <w:left w:val="nil"/>
              <w:bottom w:val="nil"/>
            </w:tcBorders>
          </w:tcPr>
          <w:p w:rsidR="00AD17B1" w:rsidRPr="00AD17B1" w:rsidRDefault="00AD17B1" w:rsidP="00AD17B1">
            <w:pPr>
              <w:spacing w:before="100" w:beforeAutospacing="1" w:after="100" w:afterAutospacing="1"/>
              <w:jc w:val="both"/>
              <w:rPr>
                <w:sz w:val="24"/>
              </w:rPr>
            </w:pPr>
          </w:p>
        </w:tc>
        <w:tc>
          <w:tcPr>
            <w:tcW w:w="4230" w:type="dxa"/>
          </w:tcPr>
          <w:p w:rsidR="00AD17B1" w:rsidRPr="00AD17B1" w:rsidRDefault="00AD17B1" w:rsidP="00AD17B1">
            <w:pPr>
              <w:spacing w:before="100" w:beforeAutospacing="1" w:after="100" w:afterAutospacing="1"/>
              <w:jc w:val="both"/>
              <w:rPr>
                <w:sz w:val="24"/>
              </w:rPr>
            </w:pPr>
            <w:r w:rsidRPr="00AD17B1">
              <w:rPr>
                <w:sz w:val="24"/>
              </w:rPr>
              <w:t>Since 01 April 2018</w:t>
            </w:r>
          </w:p>
        </w:tc>
        <w:tc>
          <w:tcPr>
            <w:tcW w:w="2238" w:type="dxa"/>
          </w:tcPr>
          <w:p w:rsidR="00AD17B1" w:rsidRPr="00AD17B1" w:rsidRDefault="00AD17B1" w:rsidP="00AD17B1">
            <w:pPr>
              <w:spacing w:before="100" w:beforeAutospacing="1" w:after="100" w:afterAutospacing="1"/>
              <w:jc w:val="both"/>
              <w:rPr>
                <w:sz w:val="24"/>
              </w:rPr>
            </w:pPr>
            <w:r w:rsidRPr="00AD17B1">
              <w:rPr>
                <w:sz w:val="24"/>
              </w:rPr>
              <w:t>None</w:t>
            </w:r>
          </w:p>
        </w:tc>
        <w:tc>
          <w:tcPr>
            <w:tcW w:w="2404" w:type="dxa"/>
          </w:tcPr>
          <w:p w:rsidR="00AD17B1" w:rsidRPr="00AD17B1" w:rsidRDefault="00AD17B1" w:rsidP="00AD17B1">
            <w:pPr>
              <w:spacing w:before="100" w:beforeAutospacing="1" w:after="100" w:afterAutospacing="1"/>
              <w:jc w:val="both"/>
              <w:rPr>
                <w:sz w:val="24"/>
              </w:rPr>
            </w:pPr>
            <w:r w:rsidRPr="00AD17B1">
              <w:rPr>
                <w:sz w:val="24"/>
              </w:rPr>
              <w:t>None</w:t>
            </w:r>
          </w:p>
        </w:tc>
      </w:tr>
    </w:tbl>
    <w:p w:rsidR="00AD17B1" w:rsidRPr="00AD17B1" w:rsidRDefault="00AD17B1" w:rsidP="00AD17B1">
      <w:pPr>
        <w:spacing w:before="100" w:beforeAutospacing="1" w:after="100" w:afterAutospacing="1"/>
        <w:ind w:firstLine="720"/>
        <w:jc w:val="both"/>
        <w:rPr>
          <w:sz w:val="24"/>
        </w:rPr>
      </w:pPr>
      <w:r w:rsidRPr="00AD17B1">
        <w:rPr>
          <w:sz w:val="24"/>
        </w:rPr>
        <w:t>(b)</w:t>
      </w:r>
      <w:r w:rsidRPr="00AD17B1">
        <w:rPr>
          <w:sz w:val="24"/>
        </w:rPr>
        <w:tab/>
        <w:t>No investigations were conducted.</w:t>
      </w:r>
    </w:p>
    <w:p w:rsidR="00AD17B1" w:rsidRPr="00AD17B1" w:rsidRDefault="00AD17B1" w:rsidP="00AD17B1">
      <w:pPr>
        <w:spacing w:before="100" w:beforeAutospacing="1" w:after="100" w:afterAutospacing="1"/>
        <w:jc w:val="both"/>
        <w:rPr>
          <w:sz w:val="24"/>
        </w:rPr>
      </w:pPr>
      <w:r>
        <w:rPr>
          <w:sz w:val="24"/>
        </w:rPr>
        <w:t>(2)</w:t>
      </w:r>
      <w:r>
        <w:rPr>
          <w:sz w:val="24"/>
        </w:rPr>
        <w:tab/>
        <w:t>(a)</w:t>
      </w:r>
      <w:r>
        <w:rPr>
          <w:sz w:val="24"/>
        </w:rPr>
        <w:tab/>
        <w:t>The following table reflects the details in this regard.</w:t>
      </w:r>
    </w:p>
    <w:tbl>
      <w:tblPr>
        <w:tblStyle w:val="TableGrid"/>
        <w:tblW w:w="10458" w:type="dxa"/>
        <w:tblLook w:val="04A0"/>
      </w:tblPr>
      <w:tblGrid>
        <w:gridCol w:w="1548"/>
        <w:gridCol w:w="3150"/>
        <w:gridCol w:w="3330"/>
        <w:gridCol w:w="2430"/>
      </w:tblGrid>
      <w:tr w:rsidR="00AD17B1" w:rsidRPr="00AD17B1" w:rsidTr="00AD17B1">
        <w:tc>
          <w:tcPr>
            <w:tcW w:w="1548" w:type="dxa"/>
            <w:vMerge w:val="restart"/>
            <w:tcBorders>
              <w:top w:val="nil"/>
              <w:left w:val="nil"/>
            </w:tcBorders>
          </w:tcPr>
          <w:p w:rsidR="00AD17B1" w:rsidRPr="00AD17B1" w:rsidRDefault="00AD17B1" w:rsidP="00AD17B1">
            <w:pPr>
              <w:spacing w:before="100" w:beforeAutospacing="1" w:after="100" w:afterAutospacing="1"/>
              <w:jc w:val="both"/>
              <w:rPr>
                <w:sz w:val="24"/>
              </w:rPr>
            </w:pPr>
          </w:p>
        </w:tc>
        <w:tc>
          <w:tcPr>
            <w:tcW w:w="8910" w:type="dxa"/>
            <w:gridSpan w:val="3"/>
          </w:tcPr>
          <w:p w:rsidR="00AD17B1" w:rsidRPr="00AD17B1" w:rsidRDefault="00AD17B1" w:rsidP="00AD17B1">
            <w:pPr>
              <w:spacing w:before="100" w:beforeAutospacing="1" w:after="100" w:afterAutospacing="1"/>
              <w:jc w:val="both"/>
              <w:rPr>
                <w:b/>
                <w:sz w:val="24"/>
              </w:rPr>
            </w:pPr>
            <w:r w:rsidRPr="00AD17B1">
              <w:rPr>
                <w:b/>
                <w:sz w:val="24"/>
              </w:rPr>
              <w:t>Names of Medical Professionals subjected to disciplinary processes</w:t>
            </w:r>
          </w:p>
        </w:tc>
      </w:tr>
      <w:tr w:rsidR="00AD17B1" w:rsidRPr="00AD17B1" w:rsidTr="00AD17B1">
        <w:tc>
          <w:tcPr>
            <w:tcW w:w="1548" w:type="dxa"/>
            <w:vMerge/>
            <w:tcBorders>
              <w:left w:val="nil"/>
            </w:tcBorders>
          </w:tcPr>
          <w:p w:rsidR="00AD17B1" w:rsidRPr="00AD17B1" w:rsidRDefault="00AD17B1" w:rsidP="00AD17B1">
            <w:pPr>
              <w:spacing w:before="100" w:beforeAutospacing="1" w:after="100" w:afterAutospacing="1"/>
              <w:jc w:val="both"/>
              <w:rPr>
                <w:sz w:val="24"/>
              </w:rPr>
            </w:pPr>
          </w:p>
        </w:tc>
        <w:tc>
          <w:tcPr>
            <w:tcW w:w="3150" w:type="dxa"/>
            <w:vMerge w:val="restart"/>
          </w:tcPr>
          <w:p w:rsidR="00AD17B1" w:rsidRPr="00AD17B1" w:rsidRDefault="00AD17B1" w:rsidP="00AD17B1">
            <w:pPr>
              <w:spacing w:before="100" w:beforeAutospacing="1" w:after="100" w:afterAutospacing="1"/>
              <w:jc w:val="both"/>
              <w:rPr>
                <w:sz w:val="24"/>
              </w:rPr>
            </w:pPr>
            <w:r w:rsidRPr="00AD17B1">
              <w:rPr>
                <w:sz w:val="24"/>
              </w:rPr>
              <w:t>(</w:t>
            </w:r>
            <w:proofErr w:type="spellStart"/>
            <w:r w:rsidRPr="00AD17B1">
              <w:rPr>
                <w:sz w:val="24"/>
              </w:rPr>
              <w:t>i</w:t>
            </w:r>
            <w:proofErr w:type="spellEnd"/>
            <w:r w:rsidRPr="00AD17B1">
              <w:rPr>
                <w:sz w:val="24"/>
              </w:rPr>
              <w:t>)</w:t>
            </w:r>
          </w:p>
        </w:tc>
        <w:tc>
          <w:tcPr>
            <w:tcW w:w="3330" w:type="dxa"/>
          </w:tcPr>
          <w:p w:rsidR="00AD17B1" w:rsidRPr="00AD17B1" w:rsidRDefault="00AD17B1" w:rsidP="00AD17B1">
            <w:pPr>
              <w:spacing w:before="100" w:beforeAutospacing="1" w:after="100" w:afterAutospacing="1"/>
              <w:jc w:val="both"/>
              <w:rPr>
                <w:sz w:val="24"/>
              </w:rPr>
            </w:pPr>
            <w:r w:rsidRPr="00AD17B1">
              <w:rPr>
                <w:sz w:val="24"/>
              </w:rPr>
              <w:t>Financial Year 2014/15</w:t>
            </w:r>
          </w:p>
        </w:tc>
        <w:tc>
          <w:tcPr>
            <w:tcW w:w="2430" w:type="dxa"/>
          </w:tcPr>
          <w:p w:rsidR="00AD17B1" w:rsidRPr="00AD17B1" w:rsidRDefault="00AD17B1" w:rsidP="00AD17B1">
            <w:pPr>
              <w:spacing w:before="100" w:beforeAutospacing="1" w:after="100" w:afterAutospacing="1"/>
              <w:jc w:val="both"/>
              <w:rPr>
                <w:sz w:val="24"/>
              </w:rPr>
            </w:pPr>
            <w:r w:rsidRPr="00AD17B1">
              <w:rPr>
                <w:sz w:val="24"/>
              </w:rPr>
              <w:t>None</w:t>
            </w:r>
          </w:p>
        </w:tc>
      </w:tr>
      <w:tr w:rsidR="00AD17B1" w:rsidRPr="00AD17B1" w:rsidTr="00AD17B1">
        <w:tc>
          <w:tcPr>
            <w:tcW w:w="1548" w:type="dxa"/>
            <w:vMerge/>
            <w:tcBorders>
              <w:left w:val="nil"/>
            </w:tcBorders>
          </w:tcPr>
          <w:p w:rsidR="00AD17B1" w:rsidRPr="00AD17B1" w:rsidRDefault="00AD17B1" w:rsidP="00AD17B1">
            <w:pPr>
              <w:spacing w:before="100" w:beforeAutospacing="1" w:after="100" w:afterAutospacing="1"/>
              <w:jc w:val="both"/>
              <w:rPr>
                <w:sz w:val="24"/>
              </w:rPr>
            </w:pPr>
          </w:p>
        </w:tc>
        <w:tc>
          <w:tcPr>
            <w:tcW w:w="3150" w:type="dxa"/>
            <w:vMerge/>
          </w:tcPr>
          <w:p w:rsidR="00AD17B1" w:rsidRPr="00AD17B1" w:rsidRDefault="00AD17B1" w:rsidP="00AD17B1">
            <w:pPr>
              <w:spacing w:before="100" w:beforeAutospacing="1" w:after="100" w:afterAutospacing="1"/>
              <w:jc w:val="both"/>
              <w:rPr>
                <w:sz w:val="24"/>
              </w:rPr>
            </w:pPr>
          </w:p>
        </w:tc>
        <w:tc>
          <w:tcPr>
            <w:tcW w:w="3330" w:type="dxa"/>
          </w:tcPr>
          <w:p w:rsidR="00AD17B1" w:rsidRPr="00AD17B1" w:rsidRDefault="00AD17B1" w:rsidP="00AD17B1">
            <w:pPr>
              <w:spacing w:before="100" w:beforeAutospacing="1" w:after="100" w:afterAutospacing="1"/>
              <w:jc w:val="both"/>
              <w:rPr>
                <w:sz w:val="24"/>
              </w:rPr>
            </w:pPr>
            <w:r w:rsidRPr="00AD17B1">
              <w:rPr>
                <w:sz w:val="24"/>
              </w:rPr>
              <w:t>Financial Year 2015/16</w:t>
            </w:r>
          </w:p>
        </w:tc>
        <w:tc>
          <w:tcPr>
            <w:tcW w:w="2430" w:type="dxa"/>
          </w:tcPr>
          <w:p w:rsidR="00AD17B1" w:rsidRPr="00AD17B1" w:rsidRDefault="00AD17B1" w:rsidP="00AD17B1">
            <w:pPr>
              <w:spacing w:before="100" w:beforeAutospacing="1" w:after="100" w:afterAutospacing="1"/>
              <w:jc w:val="both"/>
              <w:rPr>
                <w:sz w:val="24"/>
              </w:rPr>
            </w:pPr>
            <w:r w:rsidRPr="00AD17B1">
              <w:rPr>
                <w:sz w:val="24"/>
              </w:rPr>
              <w:t>None</w:t>
            </w:r>
          </w:p>
        </w:tc>
      </w:tr>
      <w:tr w:rsidR="00AD17B1" w:rsidRPr="00AD17B1" w:rsidTr="00AD17B1">
        <w:tc>
          <w:tcPr>
            <w:tcW w:w="1548" w:type="dxa"/>
            <w:vMerge/>
            <w:tcBorders>
              <w:left w:val="nil"/>
            </w:tcBorders>
          </w:tcPr>
          <w:p w:rsidR="00AD17B1" w:rsidRPr="00AD17B1" w:rsidRDefault="00AD17B1" w:rsidP="00AD17B1">
            <w:pPr>
              <w:spacing w:before="100" w:beforeAutospacing="1" w:after="100" w:afterAutospacing="1"/>
              <w:jc w:val="both"/>
              <w:rPr>
                <w:sz w:val="24"/>
              </w:rPr>
            </w:pPr>
          </w:p>
        </w:tc>
        <w:tc>
          <w:tcPr>
            <w:tcW w:w="3150" w:type="dxa"/>
            <w:vMerge/>
          </w:tcPr>
          <w:p w:rsidR="00AD17B1" w:rsidRPr="00AD17B1" w:rsidRDefault="00AD17B1" w:rsidP="00AD17B1">
            <w:pPr>
              <w:spacing w:before="100" w:beforeAutospacing="1" w:after="100" w:afterAutospacing="1"/>
              <w:jc w:val="both"/>
              <w:rPr>
                <w:sz w:val="24"/>
              </w:rPr>
            </w:pPr>
          </w:p>
        </w:tc>
        <w:tc>
          <w:tcPr>
            <w:tcW w:w="3330" w:type="dxa"/>
          </w:tcPr>
          <w:p w:rsidR="00AD17B1" w:rsidRPr="00AD17B1" w:rsidRDefault="00AD17B1" w:rsidP="00AD17B1">
            <w:pPr>
              <w:spacing w:before="100" w:beforeAutospacing="1" w:after="100" w:afterAutospacing="1"/>
              <w:jc w:val="both"/>
              <w:rPr>
                <w:sz w:val="24"/>
              </w:rPr>
            </w:pPr>
            <w:r w:rsidRPr="00AD17B1">
              <w:rPr>
                <w:sz w:val="24"/>
              </w:rPr>
              <w:t>Financial Year 2016/17</w:t>
            </w:r>
          </w:p>
        </w:tc>
        <w:tc>
          <w:tcPr>
            <w:tcW w:w="2430" w:type="dxa"/>
          </w:tcPr>
          <w:p w:rsidR="00AD17B1" w:rsidRPr="00AD17B1" w:rsidRDefault="00AD17B1" w:rsidP="00AD17B1">
            <w:pPr>
              <w:spacing w:before="100" w:beforeAutospacing="1" w:after="100" w:afterAutospacing="1"/>
              <w:jc w:val="both"/>
              <w:rPr>
                <w:sz w:val="24"/>
              </w:rPr>
            </w:pPr>
            <w:r w:rsidRPr="00AD17B1">
              <w:rPr>
                <w:sz w:val="24"/>
              </w:rPr>
              <w:t>None</w:t>
            </w:r>
          </w:p>
        </w:tc>
      </w:tr>
      <w:tr w:rsidR="00AD17B1" w:rsidRPr="00AD17B1" w:rsidTr="00AD17B1">
        <w:tc>
          <w:tcPr>
            <w:tcW w:w="1548" w:type="dxa"/>
            <w:vMerge/>
            <w:tcBorders>
              <w:left w:val="nil"/>
            </w:tcBorders>
          </w:tcPr>
          <w:p w:rsidR="00AD17B1" w:rsidRPr="00AD17B1" w:rsidRDefault="00AD17B1" w:rsidP="00AD17B1">
            <w:pPr>
              <w:spacing w:before="100" w:beforeAutospacing="1" w:after="100" w:afterAutospacing="1"/>
              <w:jc w:val="both"/>
              <w:rPr>
                <w:sz w:val="24"/>
              </w:rPr>
            </w:pPr>
          </w:p>
        </w:tc>
        <w:tc>
          <w:tcPr>
            <w:tcW w:w="3150" w:type="dxa"/>
          </w:tcPr>
          <w:p w:rsidR="00AD17B1" w:rsidRPr="00AD17B1" w:rsidRDefault="00AD17B1" w:rsidP="00AD17B1">
            <w:pPr>
              <w:spacing w:before="100" w:beforeAutospacing="1" w:after="100" w:afterAutospacing="1"/>
              <w:jc w:val="both"/>
              <w:rPr>
                <w:sz w:val="24"/>
              </w:rPr>
            </w:pPr>
            <w:r w:rsidRPr="00AD17B1">
              <w:rPr>
                <w:sz w:val="24"/>
              </w:rPr>
              <w:t>(ii)</w:t>
            </w:r>
          </w:p>
        </w:tc>
        <w:tc>
          <w:tcPr>
            <w:tcW w:w="3330" w:type="dxa"/>
          </w:tcPr>
          <w:p w:rsidR="00AD17B1" w:rsidRPr="00AD17B1" w:rsidRDefault="00AD17B1" w:rsidP="00AD17B1">
            <w:pPr>
              <w:spacing w:before="100" w:beforeAutospacing="1" w:after="100" w:afterAutospacing="1"/>
              <w:jc w:val="both"/>
              <w:rPr>
                <w:sz w:val="24"/>
              </w:rPr>
            </w:pPr>
            <w:r w:rsidRPr="00AD17B1">
              <w:rPr>
                <w:sz w:val="24"/>
              </w:rPr>
              <w:t>Since 01 April 2018</w:t>
            </w:r>
          </w:p>
        </w:tc>
        <w:tc>
          <w:tcPr>
            <w:tcW w:w="2430" w:type="dxa"/>
          </w:tcPr>
          <w:p w:rsidR="00AD17B1" w:rsidRPr="00AD17B1" w:rsidRDefault="00AD17B1" w:rsidP="00AD17B1">
            <w:pPr>
              <w:spacing w:before="100" w:beforeAutospacing="1" w:after="100" w:afterAutospacing="1"/>
              <w:jc w:val="both"/>
              <w:rPr>
                <w:sz w:val="24"/>
              </w:rPr>
            </w:pPr>
            <w:r w:rsidRPr="00AD17B1">
              <w:rPr>
                <w:sz w:val="24"/>
              </w:rPr>
              <w:t>None</w:t>
            </w:r>
          </w:p>
        </w:tc>
      </w:tr>
      <w:tr w:rsidR="00AD17B1" w:rsidRPr="00AD17B1" w:rsidTr="00AD17B1">
        <w:tc>
          <w:tcPr>
            <w:tcW w:w="1548" w:type="dxa"/>
            <w:vMerge/>
            <w:tcBorders>
              <w:left w:val="nil"/>
              <w:bottom w:val="nil"/>
            </w:tcBorders>
          </w:tcPr>
          <w:p w:rsidR="00AD17B1" w:rsidRPr="00AD17B1" w:rsidRDefault="00AD17B1" w:rsidP="00AD17B1">
            <w:pPr>
              <w:spacing w:before="100" w:beforeAutospacing="1" w:after="100" w:afterAutospacing="1"/>
              <w:jc w:val="both"/>
              <w:rPr>
                <w:sz w:val="24"/>
              </w:rPr>
            </w:pPr>
          </w:p>
        </w:tc>
        <w:tc>
          <w:tcPr>
            <w:tcW w:w="8910" w:type="dxa"/>
            <w:gridSpan w:val="3"/>
          </w:tcPr>
          <w:p w:rsidR="00AD17B1" w:rsidRPr="00AD17B1" w:rsidRDefault="00AD17B1" w:rsidP="00AD17B1">
            <w:pPr>
              <w:spacing w:before="100" w:beforeAutospacing="1" w:after="100" w:afterAutospacing="1"/>
              <w:jc w:val="both"/>
              <w:rPr>
                <w:sz w:val="24"/>
              </w:rPr>
            </w:pPr>
            <w:r w:rsidRPr="00AD17B1">
              <w:rPr>
                <w:sz w:val="24"/>
              </w:rPr>
              <w:t>Not applicable.</w:t>
            </w:r>
          </w:p>
        </w:tc>
      </w:tr>
    </w:tbl>
    <w:p w:rsidR="00AD17B1" w:rsidRDefault="00AD17B1" w:rsidP="00AD17B1">
      <w:pPr>
        <w:spacing w:before="100" w:beforeAutospacing="1" w:after="100" w:afterAutospacing="1"/>
        <w:jc w:val="both"/>
        <w:rPr>
          <w:b/>
          <w:sz w:val="24"/>
          <w:lang w:val="en-ZA"/>
        </w:rPr>
      </w:pPr>
    </w:p>
    <w:p w:rsidR="00AD17B1" w:rsidRDefault="00AD17B1" w:rsidP="00AD17B1">
      <w:pPr>
        <w:spacing w:before="100" w:beforeAutospacing="1" w:after="100" w:afterAutospacing="1"/>
        <w:jc w:val="both"/>
        <w:rPr>
          <w:b/>
          <w:sz w:val="24"/>
          <w:lang w:val="en-ZA"/>
        </w:rPr>
      </w:pPr>
    </w:p>
    <w:p w:rsidR="00AD17B1" w:rsidRPr="00AD17B1" w:rsidRDefault="00AD17B1" w:rsidP="00AD17B1">
      <w:pPr>
        <w:spacing w:before="100" w:beforeAutospacing="1" w:after="100" w:afterAutospacing="1"/>
        <w:jc w:val="both"/>
        <w:rPr>
          <w:sz w:val="24"/>
          <w:lang w:val="en-ZA"/>
        </w:rPr>
      </w:pPr>
      <w:r w:rsidRPr="00AD17B1">
        <w:rPr>
          <w:sz w:val="24"/>
          <w:lang w:val="en-ZA"/>
        </w:rPr>
        <w:t>(3)</w:t>
      </w:r>
      <w:r w:rsidRPr="00AD17B1">
        <w:rPr>
          <w:sz w:val="24"/>
          <w:lang w:val="en-ZA"/>
        </w:rPr>
        <w:tab/>
        <w:t>(a)</w:t>
      </w:r>
      <w:r w:rsidRPr="00AD17B1">
        <w:rPr>
          <w:sz w:val="24"/>
          <w:lang w:val="en-ZA"/>
        </w:rPr>
        <w:tab/>
      </w:r>
      <w:r>
        <w:rPr>
          <w:sz w:val="24"/>
          <w:lang w:val="en-ZA"/>
        </w:rPr>
        <w:t>The following table reflects the details in this regard</w:t>
      </w:r>
    </w:p>
    <w:tbl>
      <w:tblPr>
        <w:tblStyle w:val="TableGrid"/>
        <w:tblW w:w="10458" w:type="dxa"/>
        <w:tblLayout w:type="fixed"/>
        <w:tblLook w:val="04A0"/>
      </w:tblPr>
      <w:tblGrid>
        <w:gridCol w:w="1728"/>
        <w:gridCol w:w="1530"/>
        <w:gridCol w:w="3267"/>
        <w:gridCol w:w="3933"/>
      </w:tblGrid>
      <w:tr w:rsidR="00AD17B1" w:rsidRPr="00AD17B1" w:rsidTr="00AD17B1">
        <w:tc>
          <w:tcPr>
            <w:tcW w:w="1728" w:type="dxa"/>
            <w:vMerge w:val="restart"/>
            <w:tcBorders>
              <w:top w:val="nil"/>
              <w:left w:val="nil"/>
            </w:tcBorders>
          </w:tcPr>
          <w:p w:rsidR="00AD17B1" w:rsidRPr="00AD17B1" w:rsidRDefault="00AD17B1" w:rsidP="00AD17B1">
            <w:pPr>
              <w:spacing w:before="100" w:beforeAutospacing="1" w:after="100" w:afterAutospacing="1"/>
              <w:jc w:val="both"/>
              <w:rPr>
                <w:sz w:val="24"/>
              </w:rPr>
            </w:pPr>
          </w:p>
        </w:tc>
        <w:tc>
          <w:tcPr>
            <w:tcW w:w="8730" w:type="dxa"/>
            <w:gridSpan w:val="3"/>
          </w:tcPr>
          <w:p w:rsidR="00AD17B1" w:rsidRPr="00AD17B1" w:rsidRDefault="00AD17B1" w:rsidP="00AD17B1">
            <w:pPr>
              <w:spacing w:before="100" w:beforeAutospacing="1" w:after="100" w:afterAutospacing="1"/>
              <w:jc w:val="both"/>
              <w:rPr>
                <w:b/>
                <w:sz w:val="24"/>
              </w:rPr>
            </w:pPr>
            <w:r w:rsidRPr="00AD17B1">
              <w:rPr>
                <w:b/>
                <w:sz w:val="24"/>
              </w:rPr>
              <w:t>Names of members of Senior Management Team subjected to disciplinary processes</w:t>
            </w:r>
          </w:p>
        </w:tc>
      </w:tr>
      <w:tr w:rsidR="00AD17B1" w:rsidRPr="00AD17B1" w:rsidTr="00AD17B1">
        <w:tc>
          <w:tcPr>
            <w:tcW w:w="1728" w:type="dxa"/>
            <w:vMerge/>
            <w:tcBorders>
              <w:left w:val="nil"/>
            </w:tcBorders>
          </w:tcPr>
          <w:p w:rsidR="00AD17B1" w:rsidRPr="00AD17B1" w:rsidRDefault="00AD17B1" w:rsidP="00AD17B1">
            <w:pPr>
              <w:spacing w:before="100" w:beforeAutospacing="1" w:after="100" w:afterAutospacing="1"/>
              <w:jc w:val="both"/>
              <w:rPr>
                <w:sz w:val="24"/>
              </w:rPr>
            </w:pPr>
          </w:p>
        </w:tc>
        <w:tc>
          <w:tcPr>
            <w:tcW w:w="1530" w:type="dxa"/>
            <w:vMerge w:val="restart"/>
          </w:tcPr>
          <w:p w:rsidR="00AD17B1" w:rsidRPr="00AD17B1" w:rsidRDefault="00AD17B1" w:rsidP="00AD17B1">
            <w:pPr>
              <w:spacing w:before="100" w:beforeAutospacing="1" w:after="100" w:afterAutospacing="1"/>
              <w:jc w:val="both"/>
              <w:rPr>
                <w:sz w:val="24"/>
              </w:rPr>
            </w:pPr>
            <w:r w:rsidRPr="00AD17B1">
              <w:rPr>
                <w:sz w:val="24"/>
              </w:rPr>
              <w:t>(</w:t>
            </w:r>
            <w:proofErr w:type="spellStart"/>
            <w:r w:rsidRPr="00AD17B1">
              <w:rPr>
                <w:sz w:val="24"/>
              </w:rPr>
              <w:t>i</w:t>
            </w:r>
            <w:proofErr w:type="spellEnd"/>
            <w:r w:rsidRPr="00AD17B1">
              <w:rPr>
                <w:sz w:val="24"/>
              </w:rPr>
              <w:t>)</w:t>
            </w:r>
          </w:p>
        </w:tc>
        <w:tc>
          <w:tcPr>
            <w:tcW w:w="3267" w:type="dxa"/>
          </w:tcPr>
          <w:p w:rsidR="00AD17B1" w:rsidRPr="00AD17B1" w:rsidRDefault="00AD17B1" w:rsidP="00AD17B1">
            <w:pPr>
              <w:spacing w:before="100" w:beforeAutospacing="1" w:after="100" w:afterAutospacing="1"/>
              <w:jc w:val="both"/>
              <w:rPr>
                <w:sz w:val="24"/>
              </w:rPr>
            </w:pPr>
            <w:r w:rsidRPr="00AD17B1">
              <w:rPr>
                <w:sz w:val="24"/>
              </w:rPr>
              <w:t>Financial Year 2014/15</w:t>
            </w:r>
          </w:p>
        </w:tc>
        <w:tc>
          <w:tcPr>
            <w:tcW w:w="3933" w:type="dxa"/>
          </w:tcPr>
          <w:p w:rsidR="00AD17B1" w:rsidRPr="00AD17B1" w:rsidRDefault="00AD17B1" w:rsidP="00AD17B1">
            <w:pPr>
              <w:spacing w:before="100" w:beforeAutospacing="1" w:after="100" w:afterAutospacing="1"/>
              <w:jc w:val="both"/>
              <w:rPr>
                <w:sz w:val="24"/>
              </w:rPr>
            </w:pPr>
            <w:r w:rsidRPr="00AD17B1">
              <w:rPr>
                <w:sz w:val="24"/>
              </w:rPr>
              <w:t>None</w:t>
            </w:r>
          </w:p>
        </w:tc>
      </w:tr>
      <w:tr w:rsidR="00AD17B1" w:rsidRPr="00AD17B1" w:rsidTr="00AD17B1">
        <w:tc>
          <w:tcPr>
            <w:tcW w:w="1728" w:type="dxa"/>
            <w:vMerge/>
            <w:tcBorders>
              <w:left w:val="nil"/>
            </w:tcBorders>
          </w:tcPr>
          <w:p w:rsidR="00AD17B1" w:rsidRPr="00AD17B1" w:rsidRDefault="00AD17B1" w:rsidP="00AD17B1">
            <w:pPr>
              <w:spacing w:before="100" w:beforeAutospacing="1" w:after="100" w:afterAutospacing="1"/>
              <w:jc w:val="both"/>
              <w:rPr>
                <w:sz w:val="24"/>
              </w:rPr>
            </w:pPr>
          </w:p>
        </w:tc>
        <w:tc>
          <w:tcPr>
            <w:tcW w:w="1530" w:type="dxa"/>
            <w:vMerge/>
          </w:tcPr>
          <w:p w:rsidR="00AD17B1" w:rsidRPr="00AD17B1" w:rsidRDefault="00AD17B1" w:rsidP="00AD17B1">
            <w:pPr>
              <w:spacing w:before="100" w:beforeAutospacing="1" w:after="100" w:afterAutospacing="1"/>
              <w:jc w:val="both"/>
              <w:rPr>
                <w:sz w:val="24"/>
              </w:rPr>
            </w:pPr>
          </w:p>
        </w:tc>
        <w:tc>
          <w:tcPr>
            <w:tcW w:w="3267" w:type="dxa"/>
          </w:tcPr>
          <w:p w:rsidR="00AD17B1" w:rsidRPr="00AD17B1" w:rsidRDefault="00AD17B1" w:rsidP="00AD17B1">
            <w:pPr>
              <w:spacing w:before="100" w:beforeAutospacing="1" w:after="100" w:afterAutospacing="1"/>
              <w:jc w:val="both"/>
              <w:rPr>
                <w:sz w:val="24"/>
              </w:rPr>
            </w:pPr>
            <w:r w:rsidRPr="00AD17B1">
              <w:rPr>
                <w:sz w:val="24"/>
              </w:rPr>
              <w:t>Financial Year 2015/16</w:t>
            </w:r>
          </w:p>
        </w:tc>
        <w:tc>
          <w:tcPr>
            <w:tcW w:w="3933" w:type="dxa"/>
          </w:tcPr>
          <w:p w:rsidR="00AD17B1" w:rsidRPr="00AD17B1" w:rsidRDefault="00AD17B1" w:rsidP="00AD17B1">
            <w:pPr>
              <w:spacing w:before="100" w:beforeAutospacing="1" w:after="100" w:afterAutospacing="1"/>
              <w:jc w:val="both"/>
              <w:rPr>
                <w:sz w:val="24"/>
              </w:rPr>
            </w:pPr>
            <w:r w:rsidRPr="00AD17B1">
              <w:rPr>
                <w:sz w:val="24"/>
              </w:rPr>
              <w:t>None</w:t>
            </w:r>
          </w:p>
        </w:tc>
      </w:tr>
      <w:tr w:rsidR="00AD17B1" w:rsidRPr="00AD17B1" w:rsidTr="00AD17B1">
        <w:tc>
          <w:tcPr>
            <w:tcW w:w="1728" w:type="dxa"/>
            <w:vMerge/>
            <w:tcBorders>
              <w:left w:val="nil"/>
            </w:tcBorders>
          </w:tcPr>
          <w:p w:rsidR="00AD17B1" w:rsidRPr="00AD17B1" w:rsidRDefault="00AD17B1" w:rsidP="00AD17B1">
            <w:pPr>
              <w:spacing w:before="100" w:beforeAutospacing="1" w:after="100" w:afterAutospacing="1"/>
              <w:jc w:val="both"/>
              <w:rPr>
                <w:sz w:val="24"/>
              </w:rPr>
            </w:pPr>
          </w:p>
        </w:tc>
        <w:tc>
          <w:tcPr>
            <w:tcW w:w="1530" w:type="dxa"/>
            <w:vMerge/>
          </w:tcPr>
          <w:p w:rsidR="00AD17B1" w:rsidRPr="00AD17B1" w:rsidRDefault="00AD17B1" w:rsidP="00AD17B1">
            <w:pPr>
              <w:spacing w:before="100" w:beforeAutospacing="1" w:after="100" w:afterAutospacing="1"/>
              <w:jc w:val="both"/>
              <w:rPr>
                <w:sz w:val="24"/>
              </w:rPr>
            </w:pPr>
          </w:p>
        </w:tc>
        <w:tc>
          <w:tcPr>
            <w:tcW w:w="3267" w:type="dxa"/>
          </w:tcPr>
          <w:p w:rsidR="00AD17B1" w:rsidRPr="00AD17B1" w:rsidRDefault="00AD17B1" w:rsidP="00AD17B1">
            <w:pPr>
              <w:spacing w:before="100" w:beforeAutospacing="1" w:after="100" w:afterAutospacing="1"/>
              <w:jc w:val="both"/>
              <w:rPr>
                <w:sz w:val="24"/>
              </w:rPr>
            </w:pPr>
            <w:r w:rsidRPr="00AD17B1">
              <w:rPr>
                <w:sz w:val="24"/>
              </w:rPr>
              <w:t>Financial Year 2016/17</w:t>
            </w:r>
          </w:p>
        </w:tc>
        <w:tc>
          <w:tcPr>
            <w:tcW w:w="3933" w:type="dxa"/>
          </w:tcPr>
          <w:p w:rsidR="00AD17B1" w:rsidRPr="00AD17B1" w:rsidRDefault="00AD17B1" w:rsidP="00AD17B1">
            <w:pPr>
              <w:spacing w:before="100" w:beforeAutospacing="1" w:after="100" w:afterAutospacing="1"/>
              <w:jc w:val="both"/>
              <w:rPr>
                <w:sz w:val="24"/>
              </w:rPr>
            </w:pPr>
            <w:r w:rsidRPr="00AD17B1">
              <w:rPr>
                <w:sz w:val="24"/>
              </w:rPr>
              <w:t>None</w:t>
            </w:r>
          </w:p>
        </w:tc>
      </w:tr>
      <w:tr w:rsidR="00AD17B1" w:rsidRPr="00AD17B1" w:rsidTr="00AD17B1">
        <w:tc>
          <w:tcPr>
            <w:tcW w:w="1728" w:type="dxa"/>
            <w:vMerge/>
            <w:tcBorders>
              <w:left w:val="nil"/>
            </w:tcBorders>
          </w:tcPr>
          <w:p w:rsidR="00AD17B1" w:rsidRPr="00AD17B1" w:rsidRDefault="00AD17B1" w:rsidP="00AD17B1">
            <w:pPr>
              <w:spacing w:before="100" w:beforeAutospacing="1" w:after="100" w:afterAutospacing="1"/>
              <w:jc w:val="both"/>
              <w:rPr>
                <w:sz w:val="24"/>
              </w:rPr>
            </w:pPr>
          </w:p>
        </w:tc>
        <w:tc>
          <w:tcPr>
            <w:tcW w:w="1530" w:type="dxa"/>
          </w:tcPr>
          <w:p w:rsidR="00AD17B1" w:rsidRPr="00AD17B1" w:rsidRDefault="00AD17B1" w:rsidP="00AD17B1">
            <w:pPr>
              <w:spacing w:before="100" w:beforeAutospacing="1" w:after="100" w:afterAutospacing="1"/>
              <w:jc w:val="both"/>
              <w:rPr>
                <w:sz w:val="24"/>
              </w:rPr>
            </w:pPr>
            <w:r w:rsidRPr="00AD17B1">
              <w:rPr>
                <w:sz w:val="24"/>
              </w:rPr>
              <w:t>(ii)</w:t>
            </w:r>
          </w:p>
        </w:tc>
        <w:tc>
          <w:tcPr>
            <w:tcW w:w="3267" w:type="dxa"/>
          </w:tcPr>
          <w:p w:rsidR="00AD17B1" w:rsidRPr="00AD17B1" w:rsidRDefault="00AD17B1" w:rsidP="00AD17B1">
            <w:pPr>
              <w:spacing w:before="100" w:beforeAutospacing="1" w:after="100" w:afterAutospacing="1"/>
              <w:jc w:val="both"/>
              <w:rPr>
                <w:sz w:val="24"/>
              </w:rPr>
            </w:pPr>
            <w:r w:rsidRPr="00AD17B1">
              <w:rPr>
                <w:sz w:val="24"/>
              </w:rPr>
              <w:t>Since 01 April 2018</w:t>
            </w:r>
          </w:p>
        </w:tc>
        <w:tc>
          <w:tcPr>
            <w:tcW w:w="3933" w:type="dxa"/>
          </w:tcPr>
          <w:p w:rsidR="00AD17B1" w:rsidRPr="00AD17B1" w:rsidRDefault="00AD17B1" w:rsidP="00AD17B1">
            <w:pPr>
              <w:spacing w:before="100" w:beforeAutospacing="1" w:after="100" w:afterAutospacing="1"/>
              <w:jc w:val="both"/>
              <w:rPr>
                <w:sz w:val="24"/>
              </w:rPr>
            </w:pPr>
            <w:r w:rsidRPr="00AD17B1">
              <w:rPr>
                <w:sz w:val="24"/>
              </w:rPr>
              <w:t>None</w:t>
            </w:r>
          </w:p>
        </w:tc>
      </w:tr>
      <w:tr w:rsidR="00AD17B1" w:rsidRPr="00AD17B1" w:rsidTr="00AD17B1">
        <w:tc>
          <w:tcPr>
            <w:tcW w:w="1728" w:type="dxa"/>
            <w:vMerge/>
            <w:tcBorders>
              <w:left w:val="nil"/>
              <w:bottom w:val="nil"/>
            </w:tcBorders>
          </w:tcPr>
          <w:p w:rsidR="00AD17B1" w:rsidRPr="00AD17B1" w:rsidRDefault="00AD17B1" w:rsidP="00AD17B1">
            <w:pPr>
              <w:spacing w:before="100" w:beforeAutospacing="1" w:after="100" w:afterAutospacing="1"/>
              <w:jc w:val="both"/>
              <w:rPr>
                <w:sz w:val="24"/>
              </w:rPr>
            </w:pPr>
          </w:p>
        </w:tc>
        <w:tc>
          <w:tcPr>
            <w:tcW w:w="8730" w:type="dxa"/>
            <w:gridSpan w:val="3"/>
          </w:tcPr>
          <w:p w:rsidR="00AD17B1" w:rsidRPr="00AD17B1" w:rsidRDefault="00AD17B1" w:rsidP="00AD17B1">
            <w:pPr>
              <w:spacing w:before="100" w:beforeAutospacing="1" w:after="100" w:afterAutospacing="1"/>
              <w:jc w:val="both"/>
              <w:rPr>
                <w:sz w:val="24"/>
              </w:rPr>
            </w:pPr>
            <w:r w:rsidRPr="00AD17B1">
              <w:rPr>
                <w:sz w:val="24"/>
              </w:rPr>
              <w:t>Not applicable.</w:t>
            </w:r>
          </w:p>
        </w:tc>
      </w:tr>
    </w:tbl>
    <w:p w:rsidR="00AD17B1" w:rsidRDefault="00AD17B1" w:rsidP="00C47DA6">
      <w:pPr>
        <w:pStyle w:val="BodyText"/>
        <w:rPr>
          <w:sz w:val="24"/>
          <w:lang w:val="en-GB"/>
        </w:rPr>
      </w:pPr>
    </w:p>
    <w:p w:rsidR="00AD17B1" w:rsidRDefault="00AD17B1"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CE9" w:rsidRDefault="004E4CE9">
      <w:r>
        <w:separator/>
      </w:r>
    </w:p>
  </w:endnote>
  <w:endnote w:type="continuationSeparator" w:id="0">
    <w:p w:rsidR="004E4CE9" w:rsidRDefault="004E4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114C1A">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114C1A">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5B3EDF">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CE9" w:rsidRDefault="004E4CE9">
      <w:r>
        <w:separator/>
      </w:r>
    </w:p>
  </w:footnote>
  <w:footnote w:type="continuationSeparator" w:id="0">
    <w:p w:rsidR="004E4CE9" w:rsidRDefault="004E4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2BF7DEE"/>
    <w:multiLevelType w:val="hybridMultilevel"/>
    <w:tmpl w:val="51967EEC"/>
    <w:lvl w:ilvl="0" w:tplc="BEC4D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5"/>
  </w:num>
  <w:num w:numId="34">
    <w:abstractNumId w:val="18"/>
  </w:num>
  <w:num w:numId="35">
    <w:abstractNumId w:val="36"/>
  </w:num>
  <w:num w:numId="36">
    <w:abstractNumId w:val="6"/>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4C1A"/>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0E6E"/>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CE9"/>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B3EDF"/>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3BA7"/>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8F746F"/>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7B1"/>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2018-10-21T15:12:00Z</dcterms:created>
  <dcterms:modified xsi:type="dcterms:W3CDTF">2018-11-03T20:20:00Z</dcterms:modified>
</cp:coreProperties>
</file>