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9B" w:rsidRPr="001C1599" w:rsidRDefault="00EF1D9B" w:rsidP="00EF1D9B">
      <w:pPr>
        <w:rPr>
          <w:rFonts w:ascii="Arial" w:hAnsi="Arial" w:cs="Arial"/>
          <w:b/>
          <w:sz w:val="24"/>
          <w:szCs w:val="24"/>
        </w:rPr>
      </w:pPr>
      <w:r w:rsidRPr="001C1599">
        <w:rPr>
          <w:rFonts w:ascii="Arial" w:hAnsi="Arial" w:cs="Arial"/>
          <w:b/>
          <w:sz w:val="24"/>
          <w:szCs w:val="24"/>
        </w:rPr>
        <w:t>NATIONAL ASSEMBLY</w:t>
      </w:r>
    </w:p>
    <w:p w:rsidR="00EF1D9B" w:rsidRPr="001C1599" w:rsidRDefault="00EF1D9B" w:rsidP="00EF1D9B">
      <w:pPr>
        <w:rPr>
          <w:rFonts w:ascii="Arial" w:hAnsi="Arial" w:cs="Arial"/>
          <w:b/>
          <w:sz w:val="24"/>
          <w:szCs w:val="24"/>
        </w:rPr>
      </w:pPr>
      <w:r w:rsidRPr="001C1599">
        <w:rPr>
          <w:rFonts w:ascii="Arial" w:hAnsi="Arial" w:cs="Arial"/>
          <w:b/>
          <w:sz w:val="24"/>
          <w:szCs w:val="24"/>
        </w:rPr>
        <w:t>WRITTEN REPLY</w:t>
      </w:r>
    </w:p>
    <w:p w:rsidR="00EF1D9B" w:rsidRPr="001C1599" w:rsidRDefault="00EF1D9B" w:rsidP="00EF1D9B">
      <w:pPr>
        <w:rPr>
          <w:rFonts w:ascii="Arial" w:hAnsi="Arial" w:cs="Arial"/>
          <w:b/>
          <w:sz w:val="24"/>
          <w:szCs w:val="24"/>
        </w:rPr>
      </w:pPr>
      <w:r w:rsidRPr="001C1599">
        <w:rPr>
          <w:rFonts w:ascii="Arial" w:hAnsi="Arial" w:cs="Arial"/>
          <w:b/>
          <w:sz w:val="24"/>
          <w:szCs w:val="24"/>
        </w:rPr>
        <w:t>QUESTION 2859</w:t>
      </w:r>
    </w:p>
    <w:p w:rsidR="00EF1D9B" w:rsidRPr="001C1599" w:rsidRDefault="00EF1D9B" w:rsidP="00EF1D9B">
      <w:pPr>
        <w:rPr>
          <w:rFonts w:ascii="Arial" w:hAnsi="Arial" w:cs="Arial"/>
          <w:b/>
          <w:sz w:val="24"/>
          <w:szCs w:val="24"/>
          <w:u w:val="single"/>
        </w:rPr>
      </w:pPr>
      <w:r w:rsidRPr="001C1599">
        <w:rPr>
          <w:rFonts w:ascii="Arial" w:hAnsi="Arial" w:cs="Arial"/>
          <w:b/>
          <w:sz w:val="24"/>
          <w:szCs w:val="24"/>
          <w:u w:val="single"/>
        </w:rPr>
        <w:t>DATE OF PUBLICATION OF INTERNAL QUESTION PAPER: 12/10/2018</w:t>
      </w:r>
    </w:p>
    <w:p w:rsidR="00EF1D9B" w:rsidRPr="001C1599" w:rsidRDefault="00EF1D9B" w:rsidP="00EF1D9B">
      <w:pPr>
        <w:rPr>
          <w:rFonts w:ascii="Arial" w:hAnsi="Arial" w:cs="Arial"/>
          <w:b/>
          <w:sz w:val="24"/>
          <w:szCs w:val="24"/>
          <w:u w:val="single"/>
        </w:rPr>
      </w:pPr>
      <w:r w:rsidRPr="001C1599">
        <w:rPr>
          <w:rFonts w:ascii="Arial" w:hAnsi="Arial" w:cs="Arial"/>
          <w:b/>
          <w:sz w:val="24"/>
          <w:szCs w:val="24"/>
          <w:u w:val="single"/>
        </w:rPr>
        <w:t>INTERNAL QUESTION PAPER: 32/2018</w:t>
      </w:r>
    </w:p>
    <w:p w:rsidR="00EF1D9B" w:rsidRPr="001C1599" w:rsidRDefault="00EF1D9B" w:rsidP="003B1FE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1C1599">
        <w:rPr>
          <w:rFonts w:ascii="Arial" w:eastAsia="Calibri" w:hAnsi="Arial" w:cs="Arial"/>
          <w:b/>
          <w:sz w:val="24"/>
          <w:szCs w:val="24"/>
          <w:lang w:val="en-GB"/>
        </w:rPr>
        <w:t>2859.</w:t>
      </w:r>
      <w:r w:rsidRPr="001C1599">
        <w:rPr>
          <w:rFonts w:ascii="Arial" w:eastAsia="Calibri" w:hAnsi="Arial" w:cs="Arial"/>
          <w:b/>
          <w:sz w:val="24"/>
          <w:szCs w:val="24"/>
          <w:lang w:val="en-GB"/>
        </w:rPr>
        <w:tab/>
      </w:r>
      <w:r w:rsidRPr="001C1599">
        <w:rPr>
          <w:rFonts w:ascii="Arial" w:eastAsia="Calibri" w:hAnsi="Arial" w:cs="Arial"/>
          <w:b/>
          <w:noProof/>
          <w:sz w:val="24"/>
          <w:szCs w:val="24"/>
          <w:lang w:val="af-ZA"/>
        </w:rPr>
        <w:t>Ms H S Boshoff (DA) to ask the Minister of Basic Education:</w:t>
      </w:r>
    </w:p>
    <w:p w:rsidR="007D7BFF" w:rsidRDefault="00EF1D9B" w:rsidP="003B1FE8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b/>
          <w:bCs/>
          <w:noProof/>
          <w:sz w:val="24"/>
          <w:szCs w:val="24"/>
          <w:lang w:val="af-ZA"/>
        </w:rPr>
      </w:pPr>
      <w:r w:rsidRPr="00EF1D9B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(a) What are the relevant details of the Early Grade Reading Norms and Standards that are meant to be implemented by </w:t>
      </w:r>
      <w:r w:rsidRPr="00EF1D9B">
        <w:rPr>
          <w:rFonts w:ascii="Arial" w:eastAsia="Calibri" w:hAnsi="Arial" w:cs="Arial"/>
          <w:b/>
          <w:bCs/>
          <w:sz w:val="24"/>
          <w:szCs w:val="24"/>
          <w:lang w:val="en-GB" w:eastAsia="en-ZA"/>
        </w:rPr>
        <w:t>provincial</w:t>
      </w:r>
      <w:r w:rsidRPr="00EF1D9B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</w:t>
      </w:r>
      <w:r w:rsidRPr="00EF1D9B">
        <w:rPr>
          <w:rFonts w:ascii="Arial" w:eastAsia="Calibri" w:hAnsi="Arial" w:cs="Arial"/>
          <w:b/>
          <w:bCs/>
          <w:noProof/>
          <w:sz w:val="24"/>
          <w:szCs w:val="24"/>
          <w:lang w:val="af-ZA"/>
        </w:rPr>
        <w:t>education</w:t>
      </w:r>
      <w:r w:rsidRPr="00EF1D9B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departments and (b) what progress has each province made in meeting the specified norms and standards</w:t>
      </w:r>
      <w:r w:rsidRPr="00EF1D9B">
        <w:rPr>
          <w:rFonts w:ascii="Arial" w:eastAsia="Calibri" w:hAnsi="Arial" w:cs="Arial"/>
          <w:b/>
          <w:bCs/>
          <w:noProof/>
          <w:sz w:val="24"/>
          <w:szCs w:val="24"/>
          <w:lang w:val="af-ZA"/>
        </w:rPr>
        <w:t>?</w:t>
      </w:r>
      <w:r w:rsidRPr="00EF1D9B">
        <w:rPr>
          <w:rFonts w:ascii="Arial" w:eastAsia="Calibri" w:hAnsi="Arial" w:cs="Arial"/>
          <w:b/>
          <w:bCs/>
          <w:noProof/>
          <w:sz w:val="24"/>
          <w:szCs w:val="24"/>
          <w:lang w:val="af-ZA"/>
        </w:rPr>
        <w:tab/>
      </w:r>
      <w:r w:rsidRPr="00EF1D9B">
        <w:rPr>
          <w:rFonts w:ascii="Arial" w:eastAsia="Calibri" w:hAnsi="Arial" w:cs="Arial"/>
          <w:b/>
          <w:bCs/>
          <w:noProof/>
          <w:sz w:val="24"/>
          <w:szCs w:val="24"/>
          <w:lang w:val="af-ZA"/>
        </w:rPr>
        <w:tab/>
      </w:r>
      <w:r w:rsidRPr="00EF1D9B">
        <w:rPr>
          <w:rFonts w:ascii="Arial" w:eastAsia="Calibri" w:hAnsi="Arial" w:cs="Arial"/>
          <w:b/>
          <w:bCs/>
          <w:noProof/>
          <w:sz w:val="24"/>
          <w:szCs w:val="24"/>
          <w:lang w:val="af-ZA"/>
        </w:rPr>
        <w:tab/>
      </w:r>
      <w:r w:rsidRPr="00EF1D9B">
        <w:rPr>
          <w:rFonts w:ascii="Arial" w:eastAsia="Calibri" w:hAnsi="Arial" w:cs="Arial"/>
          <w:b/>
          <w:bCs/>
          <w:noProof/>
          <w:sz w:val="24"/>
          <w:szCs w:val="24"/>
          <w:lang w:val="af-ZA"/>
        </w:rPr>
        <w:tab/>
      </w:r>
      <w:r w:rsidRPr="00EF1D9B">
        <w:rPr>
          <w:rFonts w:ascii="Arial" w:eastAsia="Calibri" w:hAnsi="Arial" w:cs="Arial"/>
          <w:b/>
          <w:bCs/>
          <w:noProof/>
          <w:sz w:val="24"/>
          <w:szCs w:val="24"/>
          <w:lang w:val="af-ZA"/>
        </w:rPr>
        <w:tab/>
      </w:r>
      <w:r w:rsidRPr="00EF1D9B">
        <w:rPr>
          <w:rFonts w:ascii="Arial" w:eastAsia="Calibri" w:hAnsi="Arial" w:cs="Arial"/>
          <w:b/>
          <w:bCs/>
          <w:noProof/>
          <w:sz w:val="24"/>
          <w:szCs w:val="24"/>
          <w:lang w:val="af-ZA"/>
        </w:rPr>
        <w:tab/>
      </w:r>
      <w:r w:rsidRPr="00EF1D9B">
        <w:rPr>
          <w:rFonts w:ascii="Arial" w:eastAsia="Calibri" w:hAnsi="Arial" w:cs="Arial"/>
          <w:b/>
          <w:bCs/>
          <w:noProof/>
          <w:sz w:val="24"/>
          <w:szCs w:val="24"/>
          <w:lang w:val="af-ZA"/>
        </w:rPr>
        <w:tab/>
      </w:r>
      <w:r w:rsidRPr="00EF1D9B">
        <w:rPr>
          <w:rFonts w:ascii="Arial" w:eastAsia="Calibri" w:hAnsi="Arial" w:cs="Arial"/>
          <w:b/>
          <w:bCs/>
          <w:noProof/>
          <w:sz w:val="24"/>
          <w:szCs w:val="24"/>
          <w:lang w:val="af-ZA"/>
        </w:rPr>
        <w:tab/>
      </w:r>
      <w:r w:rsidRPr="00EF1D9B">
        <w:rPr>
          <w:rFonts w:ascii="Arial" w:eastAsia="Calibri" w:hAnsi="Arial" w:cs="Arial"/>
          <w:b/>
          <w:bCs/>
          <w:noProof/>
          <w:sz w:val="24"/>
          <w:szCs w:val="24"/>
          <w:lang w:val="af-ZA"/>
        </w:rPr>
        <w:tab/>
      </w:r>
      <w:r w:rsidRPr="00EF1D9B">
        <w:rPr>
          <w:rFonts w:ascii="Arial" w:eastAsia="Calibri" w:hAnsi="Arial" w:cs="Arial"/>
          <w:b/>
          <w:bCs/>
          <w:noProof/>
          <w:sz w:val="24"/>
          <w:szCs w:val="24"/>
          <w:lang w:val="af-ZA"/>
        </w:rPr>
        <w:tab/>
      </w:r>
      <w:r w:rsidRPr="00EF1D9B">
        <w:rPr>
          <w:rFonts w:ascii="Arial" w:eastAsia="Calibri" w:hAnsi="Arial" w:cs="Arial"/>
          <w:b/>
          <w:bCs/>
          <w:noProof/>
          <w:sz w:val="24"/>
          <w:szCs w:val="24"/>
          <w:lang w:val="af-ZA"/>
        </w:rPr>
        <w:tab/>
      </w:r>
    </w:p>
    <w:p w:rsidR="004443BE" w:rsidRPr="004443BE" w:rsidRDefault="00EF1D9B" w:rsidP="002C44F5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b/>
          <w:bCs/>
          <w:sz w:val="24"/>
          <w:szCs w:val="24"/>
          <w:lang w:val="en-GB" w:eastAsia="en-ZA"/>
        </w:rPr>
      </w:pPr>
      <w:r w:rsidRPr="00EF1D9B">
        <w:rPr>
          <w:rFonts w:ascii="Arial" w:eastAsia="Calibri" w:hAnsi="Arial" w:cs="Arial"/>
          <w:b/>
          <w:bCs/>
          <w:sz w:val="24"/>
          <w:szCs w:val="24"/>
          <w:lang w:val="en-GB" w:eastAsia="en-ZA"/>
        </w:rPr>
        <w:t>NW3164E</w:t>
      </w:r>
    </w:p>
    <w:p w:rsidR="00EF1D9B" w:rsidRDefault="004443BE" w:rsidP="003B1F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Response</w:t>
      </w:r>
      <w:r w:rsidR="0062556F" w:rsidRPr="00EF63D6">
        <w:rPr>
          <w:rFonts w:ascii="Arial" w:hAnsi="Arial" w:cs="Arial"/>
          <w:b/>
          <w:sz w:val="24"/>
          <w:szCs w:val="24"/>
        </w:rPr>
        <w:t>:</w:t>
      </w:r>
    </w:p>
    <w:p w:rsidR="003B1FE8" w:rsidRPr="004443BE" w:rsidRDefault="003B1FE8" w:rsidP="003B1FE8">
      <w:pPr>
        <w:jc w:val="both"/>
        <w:rPr>
          <w:rFonts w:ascii="Arial" w:hAnsi="Arial" w:cs="Arial"/>
          <w:b/>
          <w:sz w:val="24"/>
          <w:szCs w:val="24"/>
        </w:rPr>
      </w:pPr>
    </w:p>
    <w:p w:rsidR="000B2A04" w:rsidRPr="000B2A04" w:rsidRDefault="003B1FE8" w:rsidP="003B1FE8">
      <w:pPr>
        <w:pStyle w:val="ListParagraph"/>
        <w:numPr>
          <w:ilvl w:val="0"/>
          <w:numId w:val="11"/>
        </w:num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bCs/>
          <w:sz w:val="24"/>
          <w:szCs w:val="24"/>
          <w:lang w:val="en-GB"/>
        </w:rPr>
        <w:t>T</w:t>
      </w:r>
      <w:r w:rsidR="00C55655" w:rsidRPr="003B1FE8">
        <w:rPr>
          <w:rFonts w:ascii="Arial" w:eastAsia="Calibri" w:hAnsi="Arial" w:cs="Arial"/>
          <w:bCs/>
          <w:sz w:val="24"/>
          <w:szCs w:val="24"/>
          <w:lang w:val="en-GB"/>
        </w:rPr>
        <w:t>he relevant details of</w:t>
      </w:r>
      <w:r w:rsidR="0062556F" w:rsidRPr="003B1FE8">
        <w:rPr>
          <w:rFonts w:ascii="Arial" w:eastAsia="Calibri" w:hAnsi="Arial" w:cs="Arial"/>
          <w:bCs/>
          <w:sz w:val="24"/>
          <w:szCs w:val="24"/>
          <w:lang w:val="en-GB"/>
        </w:rPr>
        <w:t xml:space="preserve"> the Early Grade Reading Norms and Standards </w:t>
      </w:r>
      <w:r w:rsidR="00C55655" w:rsidRPr="003B1FE8">
        <w:rPr>
          <w:rFonts w:ascii="Arial" w:eastAsia="Calibri" w:hAnsi="Arial" w:cs="Arial"/>
          <w:bCs/>
          <w:sz w:val="24"/>
          <w:szCs w:val="24"/>
          <w:lang w:val="en-GB"/>
        </w:rPr>
        <w:t xml:space="preserve">which are </w:t>
      </w:r>
      <w:r w:rsidR="0062556F" w:rsidRPr="003B1FE8">
        <w:rPr>
          <w:rFonts w:ascii="Arial" w:eastAsia="Calibri" w:hAnsi="Arial" w:cs="Arial"/>
          <w:bCs/>
          <w:sz w:val="24"/>
          <w:szCs w:val="24"/>
          <w:lang w:val="en-GB"/>
        </w:rPr>
        <w:t xml:space="preserve">meant to be implemented by </w:t>
      </w:r>
      <w:r w:rsidR="0062556F" w:rsidRPr="003B1FE8">
        <w:rPr>
          <w:rFonts w:ascii="Arial" w:eastAsia="Calibri" w:hAnsi="Arial" w:cs="Arial"/>
          <w:bCs/>
          <w:sz w:val="24"/>
          <w:szCs w:val="24"/>
          <w:lang w:val="en-GB" w:eastAsia="en-ZA"/>
        </w:rPr>
        <w:t>provincial</w:t>
      </w:r>
      <w:r w:rsidR="0062556F" w:rsidRPr="003B1FE8">
        <w:rPr>
          <w:rFonts w:ascii="Arial" w:eastAsia="Calibri" w:hAnsi="Arial" w:cs="Arial"/>
          <w:bCs/>
          <w:sz w:val="24"/>
          <w:szCs w:val="24"/>
          <w:lang w:val="en-GB"/>
        </w:rPr>
        <w:t xml:space="preserve"> </w:t>
      </w:r>
      <w:r w:rsidR="0062556F" w:rsidRPr="003B1FE8">
        <w:rPr>
          <w:rFonts w:ascii="Arial" w:eastAsia="Calibri" w:hAnsi="Arial" w:cs="Arial"/>
          <w:bCs/>
          <w:noProof/>
          <w:sz w:val="24"/>
          <w:szCs w:val="24"/>
          <w:lang w:val="af-ZA"/>
        </w:rPr>
        <w:t>education</w:t>
      </w:r>
      <w:r w:rsidR="00C55655" w:rsidRPr="003B1FE8">
        <w:rPr>
          <w:rFonts w:ascii="Arial" w:eastAsia="Calibri" w:hAnsi="Arial" w:cs="Arial"/>
          <w:bCs/>
          <w:sz w:val="24"/>
          <w:szCs w:val="24"/>
          <w:lang w:val="en-GB"/>
        </w:rPr>
        <w:t xml:space="preserve"> departments are explained</w:t>
      </w:r>
      <w:r w:rsidR="0062556F" w:rsidRPr="003B1FE8">
        <w:rPr>
          <w:rFonts w:ascii="Arial" w:eastAsia="Calibri" w:hAnsi="Arial" w:cs="Arial"/>
          <w:bCs/>
          <w:sz w:val="24"/>
          <w:szCs w:val="24"/>
          <w:lang w:val="en-GB"/>
        </w:rPr>
        <w:t xml:space="preserve"> in the</w:t>
      </w:r>
      <w:r w:rsidR="0062556F" w:rsidRPr="000B2A04">
        <w:rPr>
          <w:rFonts w:ascii="Arial" w:hAnsi="Arial" w:cs="Arial"/>
          <w:sz w:val="24"/>
          <w:szCs w:val="24"/>
        </w:rPr>
        <w:t xml:space="preserve"> Curriculum and Assessment Policy Statement (CAPS) from Grades R </w:t>
      </w:r>
      <w:r w:rsidR="00C55655" w:rsidRPr="000B2A04">
        <w:rPr>
          <w:rFonts w:ascii="Arial" w:hAnsi="Arial" w:cs="Arial"/>
          <w:sz w:val="24"/>
          <w:szCs w:val="24"/>
        </w:rPr>
        <w:t>–</w:t>
      </w:r>
      <w:r w:rsidR="0062556F" w:rsidRPr="000B2A04">
        <w:rPr>
          <w:rFonts w:ascii="Arial" w:hAnsi="Arial" w:cs="Arial"/>
          <w:sz w:val="24"/>
          <w:szCs w:val="24"/>
        </w:rPr>
        <w:t xml:space="preserve"> 3</w:t>
      </w:r>
      <w:r w:rsidR="00C047EA" w:rsidRPr="000B2A04">
        <w:rPr>
          <w:rFonts w:ascii="Arial" w:hAnsi="Arial" w:cs="Arial"/>
          <w:sz w:val="24"/>
          <w:szCs w:val="24"/>
        </w:rPr>
        <w:t>.</w:t>
      </w:r>
      <w:r w:rsidR="00C047EA" w:rsidRPr="00C04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These </w:t>
      </w:r>
      <w:r w:rsidR="006E778C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E1B06" w:rsidRPr="00C047EA">
        <w:rPr>
          <w:rFonts w:ascii="Arial" w:hAnsi="Arial" w:cs="Arial"/>
          <w:sz w:val="24"/>
          <w:szCs w:val="24"/>
          <w:lang w:val="en-GB"/>
        </w:rPr>
        <w:t>t</w:t>
      </w:r>
      <w:r w:rsidR="00DE1B06" w:rsidRPr="00C047EA">
        <w:rPr>
          <w:rFonts w:ascii="Arial" w:hAnsi="Arial" w:cs="Arial"/>
          <w:sz w:val="24"/>
          <w:szCs w:val="24"/>
        </w:rPr>
        <w:t>he text types that l</w:t>
      </w:r>
      <w:r w:rsidR="00DE1B06">
        <w:rPr>
          <w:rFonts w:ascii="Arial" w:hAnsi="Arial" w:cs="Arial"/>
          <w:sz w:val="24"/>
          <w:szCs w:val="24"/>
        </w:rPr>
        <w:t xml:space="preserve">earners should engage with in a </w:t>
      </w:r>
      <w:r w:rsidR="00DE1B06" w:rsidRPr="00C047EA">
        <w:rPr>
          <w:rFonts w:ascii="Arial" w:hAnsi="Arial" w:cs="Arial"/>
          <w:sz w:val="24"/>
          <w:szCs w:val="24"/>
        </w:rPr>
        <w:t>2 weekly cycle</w:t>
      </w:r>
      <w:r w:rsidR="00DE1B06">
        <w:rPr>
          <w:rFonts w:ascii="Arial" w:hAnsi="Arial" w:cs="Arial"/>
          <w:sz w:val="24"/>
          <w:szCs w:val="24"/>
        </w:rPr>
        <w:t xml:space="preserve"> and </w:t>
      </w:r>
      <w:r w:rsidR="00DE1B06" w:rsidRPr="00C047EA">
        <w:rPr>
          <w:rFonts w:ascii="Arial" w:hAnsi="Arial" w:cs="Arial"/>
          <w:sz w:val="24"/>
          <w:szCs w:val="24"/>
        </w:rPr>
        <w:t>the time allocation per grade for each term of the year</w:t>
      </w:r>
      <w:r w:rsidR="009F283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They</w:t>
      </w:r>
      <w:r>
        <w:rPr>
          <w:rFonts w:ascii="Arial" w:hAnsi="Arial" w:cs="Arial"/>
          <w:sz w:val="24"/>
          <w:szCs w:val="24"/>
        </w:rPr>
        <w:t xml:space="preserve"> also contain</w:t>
      </w:r>
      <w:r w:rsidR="00DE1B06" w:rsidRPr="00C047EA">
        <w:rPr>
          <w:rFonts w:ascii="Arial" w:hAnsi="Arial" w:cs="Arial"/>
          <w:sz w:val="24"/>
          <w:szCs w:val="24"/>
        </w:rPr>
        <w:t xml:space="preserve"> </w:t>
      </w:r>
      <w:r w:rsidR="006E778C">
        <w:rPr>
          <w:rFonts w:ascii="Arial" w:hAnsi="Arial" w:cs="Arial"/>
          <w:sz w:val="24"/>
          <w:szCs w:val="24"/>
        </w:rPr>
        <w:t>the</w:t>
      </w:r>
      <w:r w:rsidR="00C047EA" w:rsidRPr="00C047EA">
        <w:rPr>
          <w:rFonts w:ascii="Arial" w:hAnsi="Arial" w:cs="Arial"/>
          <w:sz w:val="24"/>
          <w:szCs w:val="24"/>
        </w:rPr>
        <w:t xml:space="preserve"> components of reading such as decoding, sounding letters of the alphabet, letter recognition to re</w:t>
      </w:r>
      <w:r w:rsidR="00DE1B06">
        <w:rPr>
          <w:rFonts w:ascii="Arial" w:hAnsi="Arial" w:cs="Arial"/>
          <w:sz w:val="24"/>
          <w:szCs w:val="24"/>
        </w:rPr>
        <w:t xml:space="preserve">ading words and reading fluency </w:t>
      </w:r>
      <w:r w:rsidR="009F2833">
        <w:rPr>
          <w:rFonts w:ascii="Arial" w:hAnsi="Arial" w:cs="Arial"/>
          <w:sz w:val="24"/>
          <w:szCs w:val="24"/>
        </w:rPr>
        <w:t>which is</w:t>
      </w:r>
      <w:r w:rsidR="00C047EA" w:rsidRPr="00C047EA">
        <w:rPr>
          <w:rFonts w:ascii="Arial" w:hAnsi="Arial" w:cs="Arial"/>
          <w:sz w:val="24"/>
          <w:szCs w:val="24"/>
        </w:rPr>
        <w:t xml:space="preserve"> </w:t>
      </w:r>
      <w:r w:rsidR="00DE1B06" w:rsidRPr="00C047EA">
        <w:rPr>
          <w:rFonts w:ascii="Arial" w:hAnsi="Arial" w:cs="Arial"/>
          <w:sz w:val="24"/>
          <w:szCs w:val="24"/>
        </w:rPr>
        <w:t xml:space="preserve">clearly </w:t>
      </w:r>
      <w:r w:rsidR="005D354E" w:rsidRPr="00C047EA">
        <w:rPr>
          <w:rFonts w:ascii="Arial" w:hAnsi="Arial" w:cs="Arial"/>
          <w:sz w:val="24"/>
          <w:szCs w:val="24"/>
        </w:rPr>
        <w:t>described</w:t>
      </w:r>
      <w:r w:rsidR="00C047EA" w:rsidRPr="00C047EA">
        <w:rPr>
          <w:rFonts w:ascii="Arial" w:hAnsi="Arial" w:cs="Arial"/>
          <w:sz w:val="24"/>
          <w:szCs w:val="24"/>
        </w:rPr>
        <w:t xml:space="preserve"> </w:t>
      </w:r>
      <w:r w:rsidR="005D354E" w:rsidRPr="00C047EA">
        <w:rPr>
          <w:rFonts w:ascii="Arial" w:hAnsi="Arial" w:cs="Arial"/>
          <w:sz w:val="24"/>
          <w:szCs w:val="24"/>
        </w:rPr>
        <w:t xml:space="preserve">in the Annual Teaching Plan (Section 3) of the CAPS. </w:t>
      </w:r>
      <w:r w:rsidR="00CB5957">
        <w:rPr>
          <w:rFonts w:ascii="Arial" w:hAnsi="Arial" w:cs="Arial"/>
          <w:sz w:val="24"/>
          <w:szCs w:val="24"/>
        </w:rPr>
        <w:t xml:space="preserve"> Additional guideline</w:t>
      </w:r>
      <w:r w:rsidR="000B2A04">
        <w:rPr>
          <w:rFonts w:ascii="Arial" w:hAnsi="Arial" w:cs="Arial"/>
          <w:sz w:val="24"/>
          <w:szCs w:val="24"/>
        </w:rPr>
        <w:t>s</w:t>
      </w:r>
      <w:r w:rsidR="00CB5957">
        <w:rPr>
          <w:rFonts w:ascii="Arial" w:hAnsi="Arial" w:cs="Arial"/>
          <w:sz w:val="24"/>
          <w:szCs w:val="24"/>
        </w:rPr>
        <w:t xml:space="preserve"> were developed in February 2018 and mediated through the Foundation Phase Subject Committees and workshops at national, provincial, district</w:t>
      </w:r>
      <w:r w:rsidR="004443BE">
        <w:rPr>
          <w:rFonts w:ascii="Arial" w:hAnsi="Arial" w:cs="Arial"/>
          <w:sz w:val="24"/>
          <w:szCs w:val="24"/>
        </w:rPr>
        <w:t xml:space="preserve"> and teacher training</w:t>
      </w:r>
      <w:r>
        <w:rPr>
          <w:rFonts w:ascii="Arial" w:hAnsi="Arial" w:cs="Arial"/>
          <w:sz w:val="24"/>
          <w:szCs w:val="24"/>
        </w:rPr>
        <w:t>,</w:t>
      </w:r>
      <w:r w:rsidR="00CB59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as well as through</w:t>
      </w:r>
      <w:r>
        <w:rPr>
          <w:rFonts w:ascii="Arial" w:hAnsi="Arial" w:cs="Arial"/>
          <w:sz w:val="24"/>
          <w:szCs w:val="24"/>
        </w:rPr>
        <w:t xml:space="preserve"> Professional</w:t>
      </w:r>
      <w:r w:rsidR="00CB5957">
        <w:rPr>
          <w:rFonts w:ascii="Arial" w:hAnsi="Arial" w:cs="Arial"/>
          <w:sz w:val="24"/>
          <w:szCs w:val="24"/>
        </w:rPr>
        <w:t xml:space="preserve"> Learning Communities.</w:t>
      </w:r>
    </w:p>
    <w:p w:rsidR="00D378B7" w:rsidRDefault="00D378B7" w:rsidP="00D378B7">
      <w:pPr>
        <w:spacing w:after="0" w:line="240" w:lineRule="auto"/>
        <w:jc w:val="both"/>
        <w:rPr>
          <w:rFonts w:ascii="Arial" w:hAnsi="Arial" w:cs="Arial"/>
          <w:color w:val="FC0000"/>
          <w:sz w:val="24"/>
          <w:szCs w:val="24"/>
          <w:lang w:val="en-GB"/>
        </w:rPr>
      </w:pPr>
    </w:p>
    <w:p w:rsidR="00D378B7" w:rsidRPr="00D378B7" w:rsidRDefault="00D378B7" w:rsidP="00D378B7">
      <w:pPr>
        <w:spacing w:after="0" w:line="240" w:lineRule="auto"/>
        <w:jc w:val="both"/>
        <w:rPr>
          <w:rFonts w:ascii="Arial" w:hAnsi="Arial" w:cs="Arial"/>
          <w:color w:val="FC0000"/>
          <w:sz w:val="24"/>
          <w:szCs w:val="24"/>
          <w:lang w:val="en-GB"/>
        </w:rPr>
      </w:pPr>
    </w:p>
    <w:p w:rsidR="002C44F5" w:rsidRDefault="00FE5BA6" w:rsidP="00706720">
      <w:pPr>
        <w:pStyle w:val="ListParagraph"/>
        <w:numPr>
          <w:ilvl w:val="0"/>
          <w:numId w:val="11"/>
        </w:num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122460">
        <w:rPr>
          <w:rFonts w:ascii="Arial" w:eastAsia="Calibri" w:hAnsi="Arial" w:cs="Arial"/>
          <w:bCs/>
          <w:sz w:val="24"/>
          <w:szCs w:val="24"/>
          <w:lang w:val="en-GB"/>
        </w:rPr>
        <w:t>Progress by province in meeting the specified norms and standards</w:t>
      </w:r>
      <w:r w:rsidR="00B32D0A" w:rsidRPr="00122460">
        <w:rPr>
          <w:rFonts w:ascii="Arial" w:eastAsia="Calibri" w:hAnsi="Arial" w:cs="Arial"/>
          <w:bCs/>
          <w:sz w:val="24"/>
          <w:szCs w:val="24"/>
          <w:lang w:val="en-GB"/>
        </w:rPr>
        <w:t xml:space="preserve"> as per the CAPS</w:t>
      </w:r>
      <w:r w:rsidRPr="00122460">
        <w:rPr>
          <w:rFonts w:ascii="Arial" w:eastAsia="Calibri" w:hAnsi="Arial" w:cs="Arial"/>
          <w:bCs/>
          <w:sz w:val="24"/>
          <w:szCs w:val="24"/>
          <w:lang w:val="en-GB"/>
        </w:rPr>
        <w:t xml:space="preserve"> are reported on quarterly through</w:t>
      </w:r>
      <w:r w:rsidRPr="00122460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</w:t>
      </w:r>
      <w:r w:rsidRPr="00122460">
        <w:rPr>
          <w:rFonts w:ascii="Arial" w:eastAsia="Calibri" w:hAnsi="Arial" w:cs="Arial"/>
          <w:sz w:val="24"/>
          <w:szCs w:val="24"/>
          <w:lang w:val="en-GB"/>
        </w:rPr>
        <w:t xml:space="preserve">the </w:t>
      </w:r>
      <w:r w:rsidRPr="00122460">
        <w:rPr>
          <w:rFonts w:ascii="Arial" w:hAnsi="Arial" w:cs="Arial"/>
          <w:sz w:val="24"/>
          <w:szCs w:val="24"/>
        </w:rPr>
        <w:t xml:space="preserve">National Strategy for Learner Attainment (NSLA). </w:t>
      </w:r>
      <w:r w:rsidR="00B32D0A" w:rsidRPr="00122460">
        <w:rPr>
          <w:rFonts w:ascii="Arial" w:hAnsi="Arial" w:cs="Arial"/>
          <w:sz w:val="24"/>
          <w:szCs w:val="24"/>
        </w:rPr>
        <w:t xml:space="preserve"> In addition, the Early Grade Reading Assessment (EGRA) Programme is being implemented to assist teachers to evalu</w:t>
      </w:r>
      <w:r w:rsidR="00BA0A64" w:rsidRPr="00122460">
        <w:rPr>
          <w:rFonts w:ascii="Arial" w:hAnsi="Arial" w:cs="Arial"/>
          <w:sz w:val="24"/>
          <w:szCs w:val="24"/>
        </w:rPr>
        <w:t xml:space="preserve">ate learners reading progress. Base-line, mid-line and end-line assessments are conducted to evaluate learners.   </w:t>
      </w:r>
      <w:r w:rsidR="00A00279" w:rsidRPr="00122460">
        <w:rPr>
          <w:rFonts w:ascii="Arial" w:hAnsi="Arial" w:cs="Arial"/>
          <w:sz w:val="24"/>
          <w:szCs w:val="24"/>
        </w:rPr>
        <w:t>Currently, 1670</w:t>
      </w:r>
      <w:r w:rsidR="00BA0A64" w:rsidRPr="00122460">
        <w:rPr>
          <w:rFonts w:ascii="Arial" w:hAnsi="Arial" w:cs="Arial"/>
          <w:sz w:val="24"/>
          <w:szCs w:val="24"/>
        </w:rPr>
        <w:t xml:space="preserve"> schools are using EGRA to support the implementation of </w:t>
      </w:r>
      <w:r w:rsidR="00122460" w:rsidRPr="00122460">
        <w:rPr>
          <w:rFonts w:ascii="Arial" w:hAnsi="Arial" w:cs="Arial"/>
          <w:sz w:val="24"/>
          <w:szCs w:val="24"/>
        </w:rPr>
        <w:t xml:space="preserve">the </w:t>
      </w:r>
      <w:r w:rsidR="00BA0A64" w:rsidRPr="00122460">
        <w:rPr>
          <w:rFonts w:ascii="Arial" w:hAnsi="Arial" w:cs="Arial"/>
          <w:sz w:val="24"/>
          <w:szCs w:val="24"/>
        </w:rPr>
        <w:t>CAPS.</w:t>
      </w:r>
      <w:r w:rsidR="00FB2413" w:rsidRPr="00122460">
        <w:rPr>
          <w:rFonts w:ascii="Arial" w:hAnsi="Arial" w:cs="Arial"/>
          <w:sz w:val="24"/>
          <w:szCs w:val="24"/>
        </w:rPr>
        <w:t xml:space="preserve">  </w:t>
      </w:r>
    </w:p>
    <w:p w:rsidR="002C44F5" w:rsidRDefault="002C44F5" w:rsidP="002C44F5">
      <w:pPr>
        <w:pStyle w:val="ListParagraph"/>
        <w:spacing w:after="0" w:line="240" w:lineRule="auto"/>
        <w:ind w:left="340"/>
        <w:jc w:val="both"/>
        <w:rPr>
          <w:rFonts w:ascii="Arial" w:eastAsia="Calibri" w:hAnsi="Arial" w:cs="Arial"/>
          <w:bCs/>
          <w:sz w:val="24"/>
          <w:szCs w:val="24"/>
          <w:lang w:val="en-GB"/>
        </w:rPr>
      </w:pPr>
    </w:p>
    <w:p w:rsidR="00830B9C" w:rsidRPr="00122460" w:rsidRDefault="004B4857" w:rsidP="002C44F5">
      <w:pPr>
        <w:pStyle w:val="ListParagraph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122460">
        <w:rPr>
          <w:rFonts w:ascii="Arial" w:hAnsi="Arial" w:cs="Arial"/>
          <w:sz w:val="24"/>
          <w:szCs w:val="24"/>
        </w:rPr>
        <w:t>The Primary School Reading Improvement Programme (PSRIP) was launched in October 2016</w:t>
      </w:r>
      <w:r w:rsidR="007C5509" w:rsidRPr="00122460">
        <w:rPr>
          <w:rFonts w:ascii="Arial" w:hAnsi="Arial" w:cs="Arial"/>
          <w:sz w:val="24"/>
          <w:szCs w:val="24"/>
        </w:rPr>
        <w:t xml:space="preserve">.  </w:t>
      </w:r>
      <w:r w:rsidR="00122460" w:rsidRPr="00122460">
        <w:rPr>
          <w:rFonts w:ascii="Arial" w:hAnsi="Arial" w:cs="Arial"/>
          <w:sz w:val="24"/>
          <w:szCs w:val="24"/>
        </w:rPr>
        <w:t xml:space="preserve">As a result, </w:t>
      </w:r>
      <w:r w:rsidR="00830B9C" w:rsidRPr="00122460">
        <w:rPr>
          <w:rFonts w:ascii="Arial" w:hAnsi="Arial" w:cs="Arial"/>
          <w:sz w:val="24"/>
          <w:szCs w:val="24"/>
        </w:rPr>
        <w:t xml:space="preserve">11 712 </w:t>
      </w:r>
      <w:r w:rsidR="00406F3B" w:rsidRPr="00122460">
        <w:rPr>
          <w:rFonts w:ascii="Arial" w:hAnsi="Arial" w:cs="Arial"/>
          <w:sz w:val="24"/>
          <w:szCs w:val="24"/>
        </w:rPr>
        <w:t xml:space="preserve">Foundation Phase </w:t>
      </w:r>
      <w:r w:rsidR="00830B9C" w:rsidRPr="00122460">
        <w:rPr>
          <w:rFonts w:ascii="Arial" w:hAnsi="Arial" w:cs="Arial"/>
          <w:sz w:val="24"/>
          <w:szCs w:val="24"/>
        </w:rPr>
        <w:t xml:space="preserve">teachers </w:t>
      </w:r>
      <w:r w:rsidR="007C5509" w:rsidRPr="00122460">
        <w:rPr>
          <w:rFonts w:ascii="Arial" w:hAnsi="Arial" w:cs="Arial"/>
          <w:sz w:val="24"/>
          <w:szCs w:val="24"/>
        </w:rPr>
        <w:t xml:space="preserve">and 263 subject advisors </w:t>
      </w:r>
      <w:r w:rsidR="00122460" w:rsidRPr="00122460">
        <w:rPr>
          <w:rFonts w:ascii="Arial" w:hAnsi="Arial" w:cs="Arial"/>
          <w:sz w:val="24"/>
          <w:szCs w:val="24"/>
        </w:rPr>
        <w:t>have</w:t>
      </w:r>
      <w:r w:rsidR="00830B9C" w:rsidRPr="00122460">
        <w:rPr>
          <w:rFonts w:ascii="Arial" w:hAnsi="Arial" w:cs="Arial"/>
          <w:sz w:val="24"/>
          <w:szCs w:val="24"/>
        </w:rPr>
        <w:t xml:space="preserve"> trained on reading content and pedagogy in preparation for delivering the reading component of </w:t>
      </w:r>
      <w:r w:rsidR="00122460" w:rsidRPr="00122460">
        <w:rPr>
          <w:rFonts w:ascii="Arial" w:hAnsi="Arial" w:cs="Arial"/>
          <w:sz w:val="24"/>
          <w:szCs w:val="24"/>
        </w:rPr>
        <w:t xml:space="preserve">the </w:t>
      </w:r>
      <w:r w:rsidR="00830B9C" w:rsidRPr="00122460">
        <w:rPr>
          <w:rFonts w:ascii="Arial" w:hAnsi="Arial" w:cs="Arial"/>
          <w:sz w:val="24"/>
          <w:szCs w:val="24"/>
        </w:rPr>
        <w:t>CAPS</w:t>
      </w:r>
      <w:r w:rsidR="007C5509" w:rsidRPr="00122460">
        <w:rPr>
          <w:rFonts w:ascii="Arial" w:hAnsi="Arial" w:cs="Arial"/>
          <w:sz w:val="24"/>
          <w:szCs w:val="24"/>
        </w:rPr>
        <w:t>.</w:t>
      </w:r>
      <w:r w:rsidR="00A00279" w:rsidRPr="00122460">
        <w:rPr>
          <w:rFonts w:ascii="Arial" w:hAnsi="Arial" w:cs="Arial"/>
          <w:sz w:val="24"/>
          <w:szCs w:val="24"/>
        </w:rPr>
        <w:t xml:space="preserve">  The table below details the progress </w:t>
      </w:r>
      <w:r w:rsidR="00122460" w:rsidRPr="00122460">
        <w:rPr>
          <w:rFonts w:ascii="Arial" w:hAnsi="Arial" w:cs="Arial"/>
          <w:sz w:val="24"/>
          <w:szCs w:val="24"/>
        </w:rPr>
        <w:t>as at 30 September 2018 on the above programmes in provinces.</w:t>
      </w:r>
      <w:r w:rsidR="00A00279" w:rsidRPr="00122460">
        <w:rPr>
          <w:rFonts w:ascii="Arial" w:hAnsi="Arial" w:cs="Arial"/>
          <w:sz w:val="24"/>
          <w:szCs w:val="24"/>
        </w:rPr>
        <w:t xml:space="preserve"> </w:t>
      </w:r>
    </w:p>
    <w:p w:rsidR="00830B9C" w:rsidRDefault="00830B9C" w:rsidP="003B1F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611"/>
      </w:tblGrid>
      <w:tr w:rsidR="00406F3B" w:rsidTr="00A00279">
        <w:tc>
          <w:tcPr>
            <w:tcW w:w="1984" w:type="dxa"/>
            <w:shd w:val="clear" w:color="auto" w:fill="D9D9D9" w:themeFill="background1" w:themeFillShade="D9"/>
          </w:tcPr>
          <w:p w:rsidR="00406F3B" w:rsidRPr="00406F3B" w:rsidRDefault="00406F3B" w:rsidP="00A002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F3B">
              <w:rPr>
                <w:rFonts w:ascii="Arial" w:hAnsi="Arial" w:cs="Arial"/>
                <w:sz w:val="24"/>
                <w:szCs w:val="24"/>
              </w:rPr>
              <w:lastRenderedPageBreak/>
              <w:t>Province</w:t>
            </w:r>
          </w:p>
        </w:tc>
        <w:tc>
          <w:tcPr>
            <w:tcW w:w="6611" w:type="dxa"/>
            <w:shd w:val="clear" w:color="auto" w:fill="D9D9D9" w:themeFill="background1" w:themeFillShade="D9"/>
          </w:tcPr>
          <w:p w:rsidR="00406F3B" w:rsidRPr="00406F3B" w:rsidRDefault="00406F3B" w:rsidP="00A002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F3B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406F3B" w:rsidTr="00A00279">
        <w:tc>
          <w:tcPr>
            <w:tcW w:w="1984" w:type="dxa"/>
          </w:tcPr>
          <w:p w:rsidR="00406F3B" w:rsidRPr="00406F3B" w:rsidRDefault="00406F3B" w:rsidP="00406F3B">
            <w:pPr>
              <w:rPr>
                <w:rFonts w:ascii="Arial" w:hAnsi="Arial" w:cs="Arial"/>
                <w:sz w:val="24"/>
                <w:szCs w:val="24"/>
              </w:rPr>
            </w:pPr>
            <w:r w:rsidRPr="00406F3B">
              <w:rPr>
                <w:rFonts w:ascii="Arial" w:hAnsi="Arial" w:cs="Arial"/>
                <w:sz w:val="24"/>
                <w:szCs w:val="24"/>
              </w:rPr>
              <w:t>Eastern Cape</w:t>
            </w:r>
          </w:p>
        </w:tc>
        <w:tc>
          <w:tcPr>
            <w:tcW w:w="6611" w:type="dxa"/>
          </w:tcPr>
          <w:p w:rsidR="00406F3B" w:rsidRPr="00A00279" w:rsidRDefault="00122460" w:rsidP="00A002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334 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schools are using Early Grade Reading Assessment (EGRA). </w:t>
            </w:r>
          </w:p>
          <w:p w:rsidR="00406F3B" w:rsidRPr="00A00279" w:rsidRDefault="00406F3B" w:rsidP="00A002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A00279">
              <w:rPr>
                <w:rFonts w:ascii="Arial" w:hAnsi="Arial" w:cs="Arial"/>
                <w:sz w:val="24"/>
                <w:szCs w:val="24"/>
              </w:rPr>
              <w:t xml:space="preserve">1677 Foundation Phase teachers and 58 subject advisors </w:t>
            </w:r>
            <w:r w:rsidR="008E332C">
              <w:rPr>
                <w:rFonts w:ascii="Arial" w:hAnsi="Arial" w:cs="Arial"/>
                <w:sz w:val="24"/>
                <w:szCs w:val="24"/>
              </w:rPr>
              <w:t xml:space="preserve">have been </w:t>
            </w:r>
            <w:r w:rsidRPr="00A00279">
              <w:rPr>
                <w:rFonts w:ascii="Arial" w:hAnsi="Arial" w:cs="Arial"/>
                <w:sz w:val="24"/>
                <w:szCs w:val="24"/>
              </w:rPr>
              <w:t>trained on the PSRIP Phase 1.</w:t>
            </w:r>
          </w:p>
          <w:p w:rsidR="00406F3B" w:rsidRPr="002C44F5" w:rsidRDefault="00406F3B" w:rsidP="002C44F5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33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00279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Jolly Phonics programme </w:t>
            </w:r>
            <w:r w:rsidR="008E332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is </w:t>
            </w:r>
            <w:r w:rsidRPr="00A00279">
              <w:rPr>
                <w:rFonts w:ascii="Arial" w:hAnsi="Arial" w:cs="Arial"/>
                <w:bCs/>
                <w:sz w:val="24"/>
                <w:szCs w:val="24"/>
                <w:lang w:val="en-US"/>
              </w:rPr>
              <w:t>currently being piloted in 48 schools in Grade 1</w:t>
            </w:r>
            <w:r w:rsidRPr="00A0027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E332C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Pr="00A00279">
              <w:rPr>
                <w:rFonts w:ascii="Arial" w:hAnsi="Arial" w:cs="Arial"/>
                <w:sz w:val="24"/>
                <w:szCs w:val="24"/>
                <w:lang w:val="en-US"/>
              </w:rPr>
              <w:t>support the implementation of the norms and standards</w:t>
            </w:r>
            <w:r w:rsidR="002C44F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406F3B" w:rsidTr="00A00279">
        <w:tc>
          <w:tcPr>
            <w:tcW w:w="1984" w:type="dxa"/>
          </w:tcPr>
          <w:p w:rsidR="00406F3B" w:rsidRPr="00406F3B" w:rsidRDefault="00406F3B" w:rsidP="00406F3B">
            <w:pPr>
              <w:rPr>
                <w:rFonts w:ascii="Arial" w:hAnsi="Arial" w:cs="Arial"/>
                <w:sz w:val="24"/>
                <w:szCs w:val="24"/>
              </w:rPr>
            </w:pPr>
            <w:r w:rsidRPr="00406F3B">
              <w:rPr>
                <w:rFonts w:ascii="Arial" w:hAnsi="Arial" w:cs="Arial"/>
                <w:sz w:val="24"/>
                <w:szCs w:val="24"/>
              </w:rPr>
              <w:t>Free State</w:t>
            </w:r>
          </w:p>
        </w:tc>
        <w:tc>
          <w:tcPr>
            <w:tcW w:w="6611" w:type="dxa"/>
          </w:tcPr>
          <w:p w:rsidR="00406F3B" w:rsidRPr="00A00279" w:rsidRDefault="00122460" w:rsidP="00A002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 schools are using Early Grade Reading Assessment (EGRA). </w:t>
            </w:r>
          </w:p>
          <w:p w:rsidR="00406F3B" w:rsidRPr="002C44F5" w:rsidRDefault="00406F3B" w:rsidP="002C44F5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33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00279">
              <w:rPr>
                <w:rFonts w:ascii="Arial" w:hAnsi="Arial" w:cs="Arial"/>
                <w:sz w:val="24"/>
                <w:szCs w:val="24"/>
              </w:rPr>
              <w:t xml:space="preserve">1108 Foundation Phase teachers and 25 subject advisors </w:t>
            </w:r>
            <w:r w:rsidR="008E332C">
              <w:rPr>
                <w:rFonts w:ascii="Arial" w:hAnsi="Arial" w:cs="Arial"/>
                <w:sz w:val="24"/>
                <w:szCs w:val="24"/>
              </w:rPr>
              <w:t xml:space="preserve">have been </w:t>
            </w:r>
            <w:r w:rsidRPr="00A00279">
              <w:rPr>
                <w:rFonts w:ascii="Arial" w:hAnsi="Arial" w:cs="Arial"/>
                <w:sz w:val="24"/>
                <w:szCs w:val="24"/>
              </w:rPr>
              <w:t>trained on the PSRIP Phase 1.</w:t>
            </w:r>
          </w:p>
        </w:tc>
      </w:tr>
      <w:tr w:rsidR="00406F3B" w:rsidTr="00A00279">
        <w:tc>
          <w:tcPr>
            <w:tcW w:w="1984" w:type="dxa"/>
          </w:tcPr>
          <w:p w:rsidR="00406F3B" w:rsidRPr="00406F3B" w:rsidRDefault="00406F3B" w:rsidP="00406F3B">
            <w:pPr>
              <w:rPr>
                <w:rFonts w:ascii="Arial" w:hAnsi="Arial" w:cs="Arial"/>
                <w:sz w:val="24"/>
                <w:szCs w:val="24"/>
              </w:rPr>
            </w:pPr>
            <w:r w:rsidRPr="00406F3B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6611" w:type="dxa"/>
          </w:tcPr>
          <w:p w:rsidR="00406F3B" w:rsidRPr="00A00279" w:rsidRDefault="00122460" w:rsidP="00A002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 schools are using Early Grade Reading Assessment (EGRA). </w:t>
            </w:r>
          </w:p>
          <w:p w:rsidR="00406F3B" w:rsidRPr="002C44F5" w:rsidRDefault="00406F3B" w:rsidP="002C44F5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33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00279">
              <w:rPr>
                <w:rFonts w:ascii="Arial" w:hAnsi="Arial" w:cs="Arial"/>
                <w:sz w:val="24"/>
                <w:szCs w:val="24"/>
              </w:rPr>
              <w:t xml:space="preserve">1098 Foundation Phase teachers and 38 subject advisors </w:t>
            </w:r>
            <w:r w:rsidR="008E332C">
              <w:rPr>
                <w:rFonts w:ascii="Arial" w:hAnsi="Arial" w:cs="Arial"/>
                <w:sz w:val="24"/>
                <w:szCs w:val="24"/>
              </w:rPr>
              <w:t xml:space="preserve">have been </w:t>
            </w:r>
            <w:r w:rsidRPr="00A00279">
              <w:rPr>
                <w:rFonts w:ascii="Arial" w:hAnsi="Arial" w:cs="Arial"/>
                <w:sz w:val="24"/>
                <w:szCs w:val="24"/>
              </w:rPr>
              <w:t>trained on the PSRIP Phase 1.</w:t>
            </w:r>
          </w:p>
        </w:tc>
      </w:tr>
      <w:tr w:rsidR="00406F3B" w:rsidTr="00A00279">
        <w:tc>
          <w:tcPr>
            <w:tcW w:w="1984" w:type="dxa"/>
          </w:tcPr>
          <w:p w:rsidR="00406F3B" w:rsidRPr="00406F3B" w:rsidRDefault="008E332C" w:rsidP="00406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KwaZulu-</w:t>
            </w:r>
            <w:r w:rsidR="00406F3B" w:rsidRPr="00406F3B">
              <w:rPr>
                <w:rFonts w:ascii="Arial" w:hAnsi="Arial" w:cs="Arial"/>
                <w:sz w:val="24"/>
                <w:szCs w:val="24"/>
              </w:rPr>
              <w:t>Natal</w:t>
            </w:r>
          </w:p>
        </w:tc>
        <w:tc>
          <w:tcPr>
            <w:tcW w:w="6611" w:type="dxa"/>
          </w:tcPr>
          <w:p w:rsidR="00406F3B" w:rsidRPr="00A00279" w:rsidRDefault="00122460" w:rsidP="00A002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 schools are using Early Grade Reading Assessment (EGRA). </w:t>
            </w:r>
          </w:p>
          <w:p w:rsidR="00406F3B" w:rsidRPr="00A00279" w:rsidRDefault="00BF0D6F" w:rsidP="00A002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A00279">
              <w:rPr>
                <w:rFonts w:ascii="Arial" w:hAnsi="Arial" w:cs="Arial"/>
                <w:sz w:val="24"/>
                <w:szCs w:val="24"/>
              </w:rPr>
              <w:t>2350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 Foundation Phase teachers and </w:t>
            </w:r>
            <w:r w:rsidRPr="00A00279">
              <w:rPr>
                <w:rFonts w:ascii="Arial" w:hAnsi="Arial" w:cs="Arial"/>
                <w:sz w:val="24"/>
                <w:szCs w:val="24"/>
              </w:rPr>
              <w:t>24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 subject advisors </w:t>
            </w:r>
            <w:r w:rsidR="008E332C">
              <w:rPr>
                <w:rFonts w:ascii="Arial" w:hAnsi="Arial" w:cs="Arial"/>
                <w:sz w:val="24"/>
                <w:szCs w:val="24"/>
              </w:rPr>
              <w:t xml:space="preserve">have been 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>trained on the PSRIP Phase 1.</w:t>
            </w:r>
          </w:p>
          <w:p w:rsidR="00406F3B" w:rsidRPr="002C44F5" w:rsidRDefault="008E332C" w:rsidP="002C44F5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33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proofErr w:type="spellStart"/>
            <w:r w:rsidR="009758B5" w:rsidRPr="00A00279">
              <w:rPr>
                <w:rFonts w:ascii="Arial" w:hAnsi="Arial" w:cs="Arial"/>
                <w:sz w:val="24"/>
                <w:szCs w:val="24"/>
                <w:lang w:val="en-US"/>
              </w:rPr>
              <w:t>Jika</w:t>
            </w:r>
            <w:proofErr w:type="spellEnd"/>
            <w:r w:rsidR="009758B5" w:rsidRPr="00A0027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58B5" w:rsidRPr="00A00279">
              <w:rPr>
                <w:rFonts w:ascii="Arial" w:hAnsi="Arial" w:cs="Arial"/>
                <w:sz w:val="24"/>
                <w:szCs w:val="24"/>
                <w:lang w:val="en-US"/>
              </w:rPr>
              <w:t>Imfundo</w:t>
            </w:r>
            <w:proofErr w:type="spellEnd"/>
            <w:r w:rsidR="009758B5" w:rsidRPr="00A0027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00279">
              <w:rPr>
                <w:rFonts w:ascii="Arial" w:hAnsi="Arial" w:cs="Arial"/>
                <w:sz w:val="24"/>
                <w:szCs w:val="24"/>
                <w:lang w:val="en-US"/>
              </w:rPr>
              <w:t>program</w:t>
            </w:r>
            <w:r w:rsidR="00122460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A00279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9758B5" w:rsidRPr="00A00279">
              <w:rPr>
                <w:rFonts w:ascii="Arial" w:hAnsi="Arial" w:cs="Arial"/>
                <w:sz w:val="24"/>
                <w:szCs w:val="24"/>
                <w:lang w:val="en-US"/>
              </w:rPr>
              <w:t xml:space="preserve"> is used to </w:t>
            </w:r>
            <w:r w:rsidR="00A00279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9758B5" w:rsidRPr="00A00279">
              <w:rPr>
                <w:rFonts w:ascii="Arial" w:hAnsi="Arial" w:cs="Arial"/>
                <w:sz w:val="24"/>
                <w:szCs w:val="24"/>
                <w:lang w:val="en-US"/>
              </w:rPr>
              <w:t xml:space="preserve">each </w:t>
            </w:r>
            <w:r w:rsidR="00122460">
              <w:rPr>
                <w:rFonts w:ascii="Arial" w:hAnsi="Arial" w:cs="Arial"/>
                <w:sz w:val="24"/>
                <w:szCs w:val="24"/>
                <w:lang w:val="en-US"/>
              </w:rPr>
              <w:t xml:space="preserve">teachers on how to use reading </w:t>
            </w:r>
            <w:r w:rsidR="009758B5" w:rsidRPr="00A00279">
              <w:rPr>
                <w:rFonts w:ascii="Arial" w:hAnsi="Arial" w:cs="Arial"/>
                <w:sz w:val="24"/>
                <w:szCs w:val="24"/>
                <w:lang w:val="en-US"/>
              </w:rPr>
              <w:t>strategies effectively in the classroom</w:t>
            </w:r>
            <w:r w:rsidR="00A0027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406F3B" w:rsidTr="00A00279">
        <w:tc>
          <w:tcPr>
            <w:tcW w:w="1984" w:type="dxa"/>
          </w:tcPr>
          <w:p w:rsidR="00406F3B" w:rsidRPr="00406F3B" w:rsidRDefault="00406F3B" w:rsidP="00406F3B">
            <w:pPr>
              <w:rPr>
                <w:rFonts w:ascii="Arial" w:hAnsi="Arial" w:cs="Arial"/>
                <w:sz w:val="24"/>
                <w:szCs w:val="24"/>
              </w:rPr>
            </w:pPr>
            <w:r w:rsidRPr="00406F3B"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  <w:tc>
          <w:tcPr>
            <w:tcW w:w="6611" w:type="dxa"/>
          </w:tcPr>
          <w:p w:rsidR="00406F3B" w:rsidRPr="00A00279" w:rsidRDefault="00122460" w:rsidP="00A002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 schools are using Early Grade Reading Assessment (EGRA). </w:t>
            </w:r>
          </w:p>
          <w:p w:rsidR="00406F3B" w:rsidRPr="002C44F5" w:rsidRDefault="009758B5" w:rsidP="002C44F5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33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00279">
              <w:rPr>
                <w:rFonts w:ascii="Arial" w:hAnsi="Arial" w:cs="Arial"/>
                <w:sz w:val="24"/>
                <w:szCs w:val="24"/>
              </w:rPr>
              <w:t xml:space="preserve">1597 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Foundation Phase teachers and </w:t>
            </w:r>
            <w:r w:rsidRPr="00A00279">
              <w:rPr>
                <w:rFonts w:ascii="Arial" w:hAnsi="Arial" w:cs="Arial"/>
                <w:sz w:val="24"/>
                <w:szCs w:val="24"/>
              </w:rPr>
              <w:t>2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8 subject advisors </w:t>
            </w:r>
            <w:r w:rsidR="008E332C">
              <w:rPr>
                <w:rFonts w:ascii="Arial" w:hAnsi="Arial" w:cs="Arial"/>
                <w:sz w:val="24"/>
                <w:szCs w:val="24"/>
              </w:rPr>
              <w:t xml:space="preserve">have been 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>trained on the PSRIP Phase 1.</w:t>
            </w:r>
          </w:p>
        </w:tc>
      </w:tr>
      <w:tr w:rsidR="00406F3B" w:rsidTr="00A00279">
        <w:tc>
          <w:tcPr>
            <w:tcW w:w="1984" w:type="dxa"/>
          </w:tcPr>
          <w:p w:rsidR="00406F3B" w:rsidRPr="00406F3B" w:rsidRDefault="00406F3B" w:rsidP="00406F3B">
            <w:pPr>
              <w:rPr>
                <w:rFonts w:ascii="Arial" w:hAnsi="Arial" w:cs="Arial"/>
                <w:sz w:val="24"/>
                <w:szCs w:val="24"/>
              </w:rPr>
            </w:pPr>
            <w:r w:rsidRPr="00406F3B"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  <w:tc>
          <w:tcPr>
            <w:tcW w:w="6611" w:type="dxa"/>
          </w:tcPr>
          <w:p w:rsidR="00406F3B" w:rsidRPr="00A00279" w:rsidRDefault="00122460" w:rsidP="00A002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 schools are using Early Grade Reading Assessment (EGRA). </w:t>
            </w:r>
          </w:p>
          <w:p w:rsidR="00406F3B" w:rsidRPr="002C44F5" w:rsidRDefault="007B642C" w:rsidP="002C44F5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33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00279">
              <w:rPr>
                <w:rFonts w:ascii="Arial" w:hAnsi="Arial" w:cs="Arial"/>
                <w:sz w:val="24"/>
                <w:szCs w:val="24"/>
              </w:rPr>
              <w:t>1247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 Foundation Phase teachers and </w:t>
            </w:r>
            <w:r w:rsidRPr="00A00279">
              <w:rPr>
                <w:rFonts w:ascii="Arial" w:hAnsi="Arial" w:cs="Arial"/>
                <w:sz w:val="24"/>
                <w:szCs w:val="24"/>
              </w:rPr>
              <w:t>22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 subject advisors </w:t>
            </w:r>
            <w:r w:rsidR="008E332C">
              <w:rPr>
                <w:rFonts w:ascii="Arial" w:hAnsi="Arial" w:cs="Arial"/>
                <w:sz w:val="24"/>
                <w:szCs w:val="24"/>
              </w:rPr>
              <w:t xml:space="preserve">have been 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>trained on the PSRIP Phase 1.</w:t>
            </w:r>
          </w:p>
        </w:tc>
      </w:tr>
      <w:tr w:rsidR="00406F3B" w:rsidTr="00A00279">
        <w:tc>
          <w:tcPr>
            <w:tcW w:w="1984" w:type="dxa"/>
          </w:tcPr>
          <w:p w:rsidR="00406F3B" w:rsidRPr="00406F3B" w:rsidRDefault="00406F3B" w:rsidP="00406F3B">
            <w:pPr>
              <w:rPr>
                <w:rFonts w:ascii="Arial" w:hAnsi="Arial" w:cs="Arial"/>
                <w:sz w:val="24"/>
                <w:szCs w:val="24"/>
              </w:rPr>
            </w:pPr>
            <w:r w:rsidRPr="00406F3B"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6611" w:type="dxa"/>
          </w:tcPr>
          <w:p w:rsidR="00406F3B" w:rsidRPr="00A00279" w:rsidRDefault="007B642C" w:rsidP="00A002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A00279">
              <w:rPr>
                <w:rFonts w:ascii="Arial" w:hAnsi="Arial" w:cs="Arial"/>
                <w:sz w:val="24"/>
                <w:szCs w:val="24"/>
              </w:rPr>
              <w:t>117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 schools are using Early Grade Reading Assessment (EGRA). </w:t>
            </w:r>
          </w:p>
          <w:p w:rsidR="00406F3B" w:rsidRPr="002C44F5" w:rsidRDefault="007B642C" w:rsidP="002C44F5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33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00279">
              <w:rPr>
                <w:rFonts w:ascii="Arial" w:hAnsi="Arial" w:cs="Arial"/>
                <w:sz w:val="24"/>
                <w:szCs w:val="24"/>
              </w:rPr>
              <w:t xml:space="preserve">668 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Foundation Phase teachers and </w:t>
            </w:r>
            <w:r w:rsidRPr="00A00279">
              <w:rPr>
                <w:rFonts w:ascii="Arial" w:hAnsi="Arial" w:cs="Arial"/>
                <w:sz w:val="24"/>
                <w:szCs w:val="24"/>
              </w:rPr>
              <w:t>19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 subject advisors </w:t>
            </w:r>
            <w:r w:rsidR="008E332C">
              <w:rPr>
                <w:rFonts w:ascii="Arial" w:hAnsi="Arial" w:cs="Arial"/>
                <w:sz w:val="24"/>
                <w:szCs w:val="24"/>
              </w:rPr>
              <w:t xml:space="preserve">have been 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>trained on the PSRIP Phase 1.</w:t>
            </w:r>
          </w:p>
        </w:tc>
      </w:tr>
      <w:tr w:rsidR="00406F3B" w:rsidTr="00A00279">
        <w:tc>
          <w:tcPr>
            <w:tcW w:w="1984" w:type="dxa"/>
          </w:tcPr>
          <w:p w:rsidR="00406F3B" w:rsidRPr="00406F3B" w:rsidRDefault="00406F3B" w:rsidP="00406F3B">
            <w:pPr>
              <w:rPr>
                <w:rFonts w:ascii="Arial" w:hAnsi="Arial" w:cs="Arial"/>
                <w:sz w:val="24"/>
                <w:szCs w:val="24"/>
              </w:rPr>
            </w:pPr>
            <w:r w:rsidRPr="00406F3B">
              <w:rPr>
                <w:rFonts w:ascii="Arial" w:hAnsi="Arial" w:cs="Arial"/>
                <w:sz w:val="24"/>
                <w:szCs w:val="24"/>
              </w:rPr>
              <w:t xml:space="preserve">Northern Cape </w:t>
            </w:r>
          </w:p>
        </w:tc>
        <w:tc>
          <w:tcPr>
            <w:tcW w:w="6611" w:type="dxa"/>
          </w:tcPr>
          <w:p w:rsidR="00406F3B" w:rsidRPr="00A00279" w:rsidRDefault="00122460" w:rsidP="00A002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 schools are using Early Grade Reading Assessment (EGRA). </w:t>
            </w:r>
          </w:p>
          <w:p w:rsidR="00406F3B" w:rsidRPr="002C44F5" w:rsidRDefault="007B642C" w:rsidP="002C44F5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33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00279">
              <w:rPr>
                <w:rFonts w:ascii="Arial" w:hAnsi="Arial" w:cs="Arial"/>
                <w:sz w:val="24"/>
                <w:szCs w:val="24"/>
              </w:rPr>
              <w:t>933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 Foundation Phase teachers and </w:t>
            </w:r>
            <w:r w:rsidRPr="00A00279">
              <w:rPr>
                <w:rFonts w:ascii="Arial" w:hAnsi="Arial" w:cs="Arial"/>
                <w:sz w:val="24"/>
                <w:szCs w:val="24"/>
              </w:rPr>
              <w:t>22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 subject advisors </w:t>
            </w:r>
            <w:r w:rsidR="008E332C">
              <w:rPr>
                <w:rFonts w:ascii="Arial" w:hAnsi="Arial" w:cs="Arial"/>
                <w:sz w:val="24"/>
                <w:szCs w:val="24"/>
              </w:rPr>
              <w:t xml:space="preserve">have been 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>trained on the PSRIP Phase 1.</w:t>
            </w:r>
          </w:p>
        </w:tc>
      </w:tr>
      <w:tr w:rsidR="00406F3B" w:rsidTr="00A00279">
        <w:tc>
          <w:tcPr>
            <w:tcW w:w="1984" w:type="dxa"/>
          </w:tcPr>
          <w:p w:rsidR="00406F3B" w:rsidRPr="00406F3B" w:rsidRDefault="007B642C" w:rsidP="00406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6611" w:type="dxa"/>
          </w:tcPr>
          <w:p w:rsidR="00406F3B" w:rsidRPr="00A00279" w:rsidRDefault="00122460" w:rsidP="00A002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110 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schools are using Early Grade Reading Assessment (EGRA). </w:t>
            </w:r>
          </w:p>
          <w:p w:rsidR="00406F3B" w:rsidRPr="002C44F5" w:rsidRDefault="007B642C" w:rsidP="002C44F5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33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00279">
              <w:rPr>
                <w:rFonts w:ascii="Arial" w:hAnsi="Arial" w:cs="Arial"/>
                <w:sz w:val="24"/>
                <w:szCs w:val="24"/>
              </w:rPr>
              <w:t>1034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 Foundation Phase teachers and </w:t>
            </w:r>
            <w:r w:rsidRPr="00A00279">
              <w:rPr>
                <w:rFonts w:ascii="Arial" w:hAnsi="Arial" w:cs="Arial"/>
                <w:sz w:val="24"/>
                <w:szCs w:val="24"/>
              </w:rPr>
              <w:t>27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 xml:space="preserve"> subject advisors </w:t>
            </w:r>
            <w:r w:rsidR="008E332C">
              <w:rPr>
                <w:rFonts w:ascii="Arial" w:hAnsi="Arial" w:cs="Arial"/>
                <w:sz w:val="24"/>
                <w:szCs w:val="24"/>
              </w:rPr>
              <w:t xml:space="preserve">have been </w:t>
            </w:r>
            <w:r w:rsidR="00406F3B" w:rsidRPr="00A00279">
              <w:rPr>
                <w:rFonts w:ascii="Arial" w:hAnsi="Arial" w:cs="Arial"/>
                <w:sz w:val="24"/>
                <w:szCs w:val="24"/>
              </w:rPr>
              <w:t>trained on the PSRIP Phase 1.</w:t>
            </w:r>
          </w:p>
        </w:tc>
      </w:tr>
    </w:tbl>
    <w:p w:rsidR="00A00279" w:rsidRDefault="00A00279" w:rsidP="00FE5BA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0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632C"/>
    <w:multiLevelType w:val="hybridMultilevel"/>
    <w:tmpl w:val="90D60E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64BA"/>
    <w:multiLevelType w:val="hybridMultilevel"/>
    <w:tmpl w:val="FD181A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5BB1"/>
    <w:multiLevelType w:val="hybridMultilevel"/>
    <w:tmpl w:val="C7B274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8555E"/>
    <w:multiLevelType w:val="hybridMultilevel"/>
    <w:tmpl w:val="7FF67B6A"/>
    <w:lvl w:ilvl="0" w:tplc="32C2B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0A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C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A8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E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44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49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89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63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F62D67"/>
    <w:multiLevelType w:val="hybridMultilevel"/>
    <w:tmpl w:val="2AE0356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D36F15"/>
    <w:multiLevelType w:val="hybridMultilevel"/>
    <w:tmpl w:val="B3F2D7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7852"/>
    <w:multiLevelType w:val="hybridMultilevel"/>
    <w:tmpl w:val="5F940C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3659B"/>
    <w:multiLevelType w:val="multilevel"/>
    <w:tmpl w:val="6E88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B25A80"/>
    <w:multiLevelType w:val="hybridMultilevel"/>
    <w:tmpl w:val="6A9E9A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9094D"/>
    <w:multiLevelType w:val="hybridMultilevel"/>
    <w:tmpl w:val="EA845F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1F6BB4"/>
    <w:multiLevelType w:val="hybridMultilevel"/>
    <w:tmpl w:val="2E3AE2F0"/>
    <w:lvl w:ilvl="0" w:tplc="49B2B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0579B"/>
    <w:multiLevelType w:val="hybridMultilevel"/>
    <w:tmpl w:val="44A857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50"/>
    <w:rsid w:val="00064BC2"/>
    <w:rsid w:val="000B2A04"/>
    <w:rsid w:val="000D3187"/>
    <w:rsid w:val="000F64A2"/>
    <w:rsid w:val="00122460"/>
    <w:rsid w:val="00180BAF"/>
    <w:rsid w:val="00210102"/>
    <w:rsid w:val="00254EB3"/>
    <w:rsid w:val="0026378F"/>
    <w:rsid w:val="002A53EA"/>
    <w:rsid w:val="002C44F5"/>
    <w:rsid w:val="002F5DD8"/>
    <w:rsid w:val="003B03F3"/>
    <w:rsid w:val="003B1FE8"/>
    <w:rsid w:val="003D26CD"/>
    <w:rsid w:val="00406F3B"/>
    <w:rsid w:val="004443BE"/>
    <w:rsid w:val="0045035D"/>
    <w:rsid w:val="004B4857"/>
    <w:rsid w:val="004E3741"/>
    <w:rsid w:val="004F0DB5"/>
    <w:rsid w:val="00517423"/>
    <w:rsid w:val="00551A72"/>
    <w:rsid w:val="005D354E"/>
    <w:rsid w:val="00602FC9"/>
    <w:rsid w:val="0062556F"/>
    <w:rsid w:val="0064512C"/>
    <w:rsid w:val="00662742"/>
    <w:rsid w:val="006D4B50"/>
    <w:rsid w:val="006E778C"/>
    <w:rsid w:val="007B642C"/>
    <w:rsid w:val="007C5509"/>
    <w:rsid w:val="007D7BFF"/>
    <w:rsid w:val="00830B9C"/>
    <w:rsid w:val="00872E50"/>
    <w:rsid w:val="008A1300"/>
    <w:rsid w:val="008E332C"/>
    <w:rsid w:val="008E38E8"/>
    <w:rsid w:val="0094697C"/>
    <w:rsid w:val="009758B5"/>
    <w:rsid w:val="009904FC"/>
    <w:rsid w:val="009A7399"/>
    <w:rsid w:val="009F2833"/>
    <w:rsid w:val="00A00279"/>
    <w:rsid w:val="00B32D0A"/>
    <w:rsid w:val="00B44EF7"/>
    <w:rsid w:val="00B5340D"/>
    <w:rsid w:val="00BA0A64"/>
    <w:rsid w:val="00BD05B5"/>
    <w:rsid w:val="00BE0CCD"/>
    <w:rsid w:val="00BE4E2F"/>
    <w:rsid w:val="00BF0D6F"/>
    <w:rsid w:val="00C047EA"/>
    <w:rsid w:val="00C20C5D"/>
    <w:rsid w:val="00C22A39"/>
    <w:rsid w:val="00C55655"/>
    <w:rsid w:val="00CB5957"/>
    <w:rsid w:val="00D048E1"/>
    <w:rsid w:val="00D378B7"/>
    <w:rsid w:val="00DE1B06"/>
    <w:rsid w:val="00E95D0B"/>
    <w:rsid w:val="00EF1D9B"/>
    <w:rsid w:val="00F3681A"/>
    <w:rsid w:val="00FA036A"/>
    <w:rsid w:val="00FA3015"/>
    <w:rsid w:val="00FB2413"/>
    <w:rsid w:val="00FD4EE5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C1E9C-7866-43C3-AB08-B4FC21BF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064BC2"/>
    <w:rPr>
      <w:color w:val="0000FF"/>
      <w:u w:val="single"/>
    </w:rPr>
  </w:style>
  <w:style w:type="paragraph" w:styleId="ListParagraph">
    <w:name w:val="List Paragraph"/>
    <w:aliases w:val="Table of contents numbered,Bullet List"/>
    <w:basedOn w:val="Normal"/>
    <w:link w:val="ListParagraphChar"/>
    <w:uiPriority w:val="34"/>
    <w:qFormat/>
    <w:rsid w:val="00EF1D9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Table of contents numbered Char,Bullet List Char"/>
    <w:basedOn w:val="DefaultParagraphFont"/>
    <w:link w:val="ListParagraph"/>
    <w:uiPriority w:val="34"/>
    <w:rsid w:val="00EF1D9B"/>
  </w:style>
  <w:style w:type="table" w:styleId="TableGrid">
    <w:name w:val="Table Grid"/>
    <w:basedOn w:val="TableNormal"/>
    <w:uiPriority w:val="39"/>
    <w:rsid w:val="0040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3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6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9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CA121-0462-4C9D-AF28-BB682D9F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Mahada.L</cp:lastModifiedBy>
  <cp:revision>3</cp:revision>
  <cp:lastPrinted>2018-10-15T11:06:00Z</cp:lastPrinted>
  <dcterms:created xsi:type="dcterms:W3CDTF">2018-10-16T06:37:00Z</dcterms:created>
  <dcterms:modified xsi:type="dcterms:W3CDTF">2018-11-14T08:53:00Z</dcterms:modified>
</cp:coreProperties>
</file>