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7F" w:rsidRPr="001B0917" w:rsidRDefault="0047127F" w:rsidP="0047127F">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 xml:space="preserve">NATIONAL </w:t>
      </w:r>
      <w:r w:rsidR="00FB7230">
        <w:rPr>
          <w:rFonts w:ascii="Arial" w:hAnsi="Arial" w:cs="Arial"/>
          <w:b/>
          <w:sz w:val="22"/>
          <w:szCs w:val="22"/>
        </w:rPr>
        <w:t>ASSEMBLY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QUESTION NUMBER: </w:t>
      </w:r>
      <w:r w:rsidR="00FB7230">
        <w:rPr>
          <w:rFonts w:ascii="Arial" w:hAnsi="Arial" w:cs="Arial"/>
          <w:b/>
          <w:sz w:val="22"/>
          <w:szCs w:val="22"/>
        </w:rPr>
        <w:t>28</w:t>
      </w:r>
      <w:r w:rsidR="002131C7">
        <w:rPr>
          <w:rFonts w:ascii="Arial" w:hAnsi="Arial" w:cs="Arial"/>
          <w:b/>
          <w:sz w:val="22"/>
          <w:szCs w:val="22"/>
        </w:rPr>
        <w:t>50</w:t>
      </w:r>
      <w:r w:rsidRPr="00063E28">
        <w:rPr>
          <w:rFonts w:ascii="Arial" w:hAnsi="Arial" w:cs="Arial"/>
          <w:b/>
          <w:sz w:val="22"/>
          <w:szCs w:val="22"/>
        </w:rPr>
        <w:t xml:space="preserve"> [</w:t>
      </w:r>
      <w:r w:rsidR="00FB7230">
        <w:rPr>
          <w:rFonts w:ascii="Arial" w:hAnsi="Arial" w:cs="Arial"/>
          <w:b/>
          <w:sz w:val="22"/>
          <w:szCs w:val="22"/>
          <w:lang w:val="en-ZA"/>
        </w:rPr>
        <w:t>N</w:t>
      </w:r>
      <w:r w:rsidR="001F4430" w:rsidRPr="001F4430">
        <w:rPr>
          <w:rFonts w:ascii="Arial" w:hAnsi="Arial" w:cs="Arial"/>
          <w:b/>
          <w:sz w:val="22"/>
          <w:szCs w:val="22"/>
          <w:lang w:val="en-ZA"/>
        </w:rPr>
        <w:t>W</w:t>
      </w:r>
      <w:r w:rsidR="00FB7230">
        <w:rPr>
          <w:rFonts w:ascii="Arial" w:hAnsi="Arial" w:cs="Arial"/>
          <w:b/>
          <w:sz w:val="22"/>
          <w:szCs w:val="22"/>
          <w:lang w:val="en-ZA"/>
        </w:rPr>
        <w:t>31</w:t>
      </w:r>
      <w:r w:rsidR="002131C7">
        <w:rPr>
          <w:rFonts w:ascii="Arial" w:hAnsi="Arial" w:cs="Arial"/>
          <w:b/>
          <w:sz w:val="22"/>
          <w:szCs w:val="22"/>
          <w:lang w:val="en-ZA"/>
        </w:rPr>
        <w:t>5</w:t>
      </w:r>
      <w:r w:rsidR="00612FCD">
        <w:rPr>
          <w:rFonts w:ascii="Arial" w:hAnsi="Arial" w:cs="Arial"/>
          <w:b/>
          <w:sz w:val="22"/>
          <w:szCs w:val="22"/>
          <w:lang w:val="en-ZA"/>
        </w:rPr>
        <w:t>5</w:t>
      </w:r>
      <w:r w:rsidR="001F4430" w:rsidRPr="001F4430">
        <w:rPr>
          <w:rFonts w:ascii="Arial" w:hAnsi="Arial" w:cs="Arial"/>
          <w:b/>
          <w:sz w:val="22"/>
          <w:szCs w:val="22"/>
          <w:lang w:val="en-ZA"/>
        </w:rPr>
        <w:t>E</w:t>
      </w:r>
      <w:r w:rsidRPr="00063E28">
        <w:rPr>
          <w:rFonts w:ascii="Arial" w:hAnsi="Arial" w:cs="Arial"/>
          <w:b/>
          <w:sz w:val="22"/>
          <w:szCs w:val="22"/>
        </w:rPr>
        <w:t>]</w:t>
      </w:r>
    </w:p>
    <w:p w:rsidR="0047127F" w:rsidRPr="00063E28" w:rsidRDefault="0047127F" w:rsidP="0047127F">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FB7230">
        <w:rPr>
          <w:rFonts w:ascii="Arial" w:hAnsi="Arial" w:cs="Arial"/>
          <w:b/>
          <w:sz w:val="22"/>
          <w:szCs w:val="22"/>
        </w:rPr>
        <w:t>12</w:t>
      </w:r>
      <w:r>
        <w:rPr>
          <w:rFonts w:ascii="Arial" w:hAnsi="Arial" w:cs="Arial"/>
          <w:b/>
          <w:sz w:val="22"/>
          <w:szCs w:val="22"/>
        </w:rPr>
        <w:t xml:space="preserve"> </w:t>
      </w:r>
      <w:r w:rsidR="00FB7230">
        <w:rPr>
          <w:rFonts w:ascii="Arial" w:hAnsi="Arial" w:cs="Arial"/>
          <w:b/>
          <w:sz w:val="22"/>
          <w:szCs w:val="22"/>
        </w:rPr>
        <w:t>OCTOBER</w:t>
      </w:r>
      <w:r w:rsidRPr="00063E28">
        <w:rPr>
          <w:rFonts w:ascii="Arial" w:hAnsi="Arial" w:cs="Arial"/>
          <w:b/>
          <w:sz w:val="22"/>
          <w:szCs w:val="22"/>
        </w:rPr>
        <w:t xml:space="preserve"> 2018</w:t>
      </w:r>
    </w:p>
    <w:p w:rsidR="0062770E" w:rsidRPr="001E5D45" w:rsidRDefault="0062770E" w:rsidP="001B0917">
      <w:pPr>
        <w:pStyle w:val="BodyTextIndent"/>
        <w:spacing w:line="276" w:lineRule="auto"/>
        <w:ind w:left="0" w:firstLine="0"/>
        <w:rPr>
          <w:rFonts w:ascii="Arial" w:hAnsi="Arial" w:cs="Arial"/>
          <w:b/>
          <w:sz w:val="20"/>
          <w:szCs w:val="20"/>
        </w:rPr>
      </w:pPr>
    </w:p>
    <w:p w:rsidR="002131C7" w:rsidRPr="002131C7" w:rsidRDefault="002131C7" w:rsidP="002131C7">
      <w:pPr>
        <w:spacing w:before="100" w:beforeAutospacing="1" w:after="100" w:afterAutospacing="1"/>
        <w:ind w:left="720" w:hanging="720"/>
        <w:jc w:val="both"/>
        <w:outlineLvl w:val="0"/>
        <w:rPr>
          <w:rFonts w:ascii="Arial" w:eastAsia="Calibri" w:hAnsi="Arial" w:cs="Arial"/>
          <w:sz w:val="22"/>
          <w:lang w:val="en-GB"/>
        </w:rPr>
      </w:pPr>
      <w:r w:rsidRPr="002131C7">
        <w:rPr>
          <w:rFonts w:ascii="Arial" w:eastAsia="Calibri" w:hAnsi="Arial" w:cs="Arial"/>
          <w:b/>
          <w:sz w:val="22"/>
          <w:lang w:val="en-GB"/>
        </w:rPr>
        <w:t>2850.</w:t>
      </w:r>
      <w:r w:rsidRPr="002131C7">
        <w:rPr>
          <w:rFonts w:ascii="Arial" w:eastAsia="Calibri" w:hAnsi="Arial" w:cs="Arial"/>
          <w:b/>
          <w:sz w:val="22"/>
          <w:lang w:val="en-GB"/>
        </w:rPr>
        <w:tab/>
        <w:t xml:space="preserve">Mr K J </w:t>
      </w:r>
      <w:proofErr w:type="spellStart"/>
      <w:r w:rsidRPr="002131C7">
        <w:rPr>
          <w:rFonts w:ascii="Arial" w:eastAsia="Calibri" w:hAnsi="Arial" w:cs="Arial"/>
          <w:b/>
          <w:sz w:val="22"/>
          <w:lang w:val="en-GB"/>
        </w:rPr>
        <w:t>Mileham</w:t>
      </w:r>
      <w:proofErr w:type="spellEnd"/>
      <w:r w:rsidRPr="002131C7">
        <w:rPr>
          <w:rFonts w:ascii="Arial" w:eastAsia="Calibri" w:hAnsi="Arial" w:cs="Arial"/>
          <w:b/>
          <w:sz w:val="22"/>
          <w:lang w:val="en-GB"/>
        </w:rPr>
        <w:t xml:space="preserve"> (DA) to </w:t>
      </w:r>
      <w:r w:rsidRPr="002131C7">
        <w:rPr>
          <w:rFonts w:ascii="Arial" w:eastAsia="Calibri" w:hAnsi="Arial" w:cs="Arial"/>
          <w:b/>
          <w:sz w:val="22"/>
          <w:lang w:val="en-ZA"/>
        </w:rPr>
        <w:t>ask</w:t>
      </w:r>
      <w:r w:rsidRPr="002131C7">
        <w:rPr>
          <w:rFonts w:ascii="Arial" w:eastAsia="Calibri" w:hAnsi="Arial" w:cs="Arial"/>
          <w:b/>
          <w:sz w:val="22"/>
          <w:lang w:val="en-GB"/>
        </w:rPr>
        <w:t xml:space="preserve"> the Minister of Finance:</w:t>
      </w:r>
    </w:p>
    <w:p w:rsidR="002131C7" w:rsidRPr="002131C7" w:rsidRDefault="002131C7" w:rsidP="001E5D45">
      <w:pPr>
        <w:spacing w:before="100" w:beforeAutospacing="1" w:after="100" w:afterAutospacing="1"/>
        <w:ind w:left="720" w:hanging="720"/>
        <w:jc w:val="both"/>
        <w:rPr>
          <w:rFonts w:ascii="Arial" w:eastAsia="Calibri" w:hAnsi="Arial" w:cs="Arial"/>
          <w:sz w:val="22"/>
          <w:lang w:val="en-GB"/>
        </w:rPr>
      </w:pPr>
      <w:r w:rsidRPr="002131C7">
        <w:rPr>
          <w:rFonts w:ascii="Arial" w:eastAsia="Calibri" w:hAnsi="Arial" w:cs="Arial"/>
          <w:sz w:val="22"/>
          <w:lang w:val="en-GB"/>
        </w:rPr>
        <w:t>(1)</w:t>
      </w:r>
      <w:r w:rsidRPr="002131C7">
        <w:rPr>
          <w:rFonts w:ascii="Arial" w:eastAsia="Calibri" w:hAnsi="Arial" w:cs="Arial"/>
          <w:sz w:val="22"/>
          <w:lang w:val="en-GB"/>
        </w:rPr>
        <w:tab/>
        <w:t>Whether the section 71 reports from any municipalities indicated that they had invested funds with VBS Mutual Bank, or any other mutual bank, prior to October 2016; if so, what are the relevant details;</w:t>
      </w:r>
    </w:p>
    <w:p w:rsidR="009F0C7C" w:rsidRDefault="002131C7" w:rsidP="001E5D45">
      <w:pPr>
        <w:spacing w:before="100" w:beforeAutospacing="1" w:after="100" w:afterAutospacing="1"/>
        <w:ind w:left="720" w:hanging="720"/>
        <w:jc w:val="both"/>
        <w:rPr>
          <w:rFonts w:ascii="Arial" w:eastAsia="Calibri" w:hAnsi="Arial" w:cs="Arial"/>
          <w:sz w:val="22"/>
          <w:lang w:val="en-GB"/>
        </w:rPr>
      </w:pPr>
      <w:r w:rsidRPr="002131C7">
        <w:rPr>
          <w:rFonts w:ascii="Arial" w:eastAsia="Calibri" w:hAnsi="Arial" w:cs="Arial"/>
          <w:sz w:val="22"/>
          <w:lang w:val="en-GB"/>
        </w:rPr>
        <w:t>(2)</w:t>
      </w:r>
      <w:r w:rsidRPr="002131C7">
        <w:rPr>
          <w:rFonts w:ascii="Arial" w:eastAsia="Calibri" w:hAnsi="Arial" w:cs="Arial"/>
          <w:sz w:val="22"/>
          <w:lang w:val="en-GB"/>
        </w:rPr>
        <w:tab/>
        <w:t>in each case where such indications were found, was any action was taken by the National Treasury; if not, why not; if so, what are the relevant details in each case?</w:t>
      </w:r>
    </w:p>
    <w:p w:rsidR="002131C7" w:rsidRPr="002131C7" w:rsidRDefault="002131C7" w:rsidP="001E5D45">
      <w:pPr>
        <w:spacing w:before="100" w:beforeAutospacing="1" w:after="100" w:afterAutospacing="1"/>
        <w:ind w:left="720" w:hanging="720"/>
        <w:jc w:val="right"/>
        <w:rPr>
          <w:rFonts w:ascii="Arial" w:eastAsia="Calibri" w:hAnsi="Arial" w:cs="Arial"/>
          <w:sz w:val="22"/>
          <w:lang w:val="en-GB"/>
        </w:rPr>
      </w:pPr>
      <w:r w:rsidRPr="002131C7">
        <w:rPr>
          <w:rFonts w:ascii="Arial" w:eastAsia="Calibri" w:hAnsi="Arial" w:cs="Arial"/>
          <w:sz w:val="22"/>
          <w:lang w:val="en-GB"/>
        </w:rPr>
        <w:tab/>
      </w:r>
      <w:r w:rsidRPr="002131C7">
        <w:rPr>
          <w:rFonts w:ascii="Arial" w:eastAsia="Calibri" w:hAnsi="Arial" w:cs="Arial"/>
          <w:sz w:val="22"/>
          <w:lang w:val="en-GB"/>
        </w:rPr>
        <w:tab/>
      </w:r>
      <w:r w:rsidRPr="002131C7">
        <w:rPr>
          <w:rFonts w:ascii="Arial" w:eastAsia="Calibri" w:hAnsi="Arial" w:cs="Arial"/>
          <w:sz w:val="22"/>
          <w:lang w:val="en-GB"/>
        </w:rPr>
        <w:tab/>
      </w:r>
      <w:r w:rsidRPr="002131C7">
        <w:rPr>
          <w:rFonts w:ascii="Arial" w:eastAsia="Calibri" w:hAnsi="Arial" w:cs="Arial"/>
          <w:sz w:val="22"/>
          <w:lang w:val="en-GB"/>
        </w:rPr>
        <w:tab/>
      </w:r>
      <w:r w:rsidRPr="002131C7">
        <w:rPr>
          <w:rFonts w:ascii="Arial" w:eastAsia="Calibri" w:hAnsi="Arial" w:cs="Arial"/>
          <w:sz w:val="22"/>
          <w:lang w:val="en-GB"/>
        </w:rPr>
        <w:tab/>
      </w:r>
      <w:r w:rsidRPr="002131C7">
        <w:rPr>
          <w:rFonts w:ascii="Arial" w:eastAsia="Calibri" w:hAnsi="Arial" w:cs="Arial"/>
          <w:sz w:val="22"/>
          <w:lang w:val="en-GB"/>
        </w:rPr>
        <w:tab/>
      </w:r>
      <w:r w:rsidRPr="002131C7">
        <w:rPr>
          <w:rFonts w:ascii="Arial" w:eastAsia="Calibri" w:hAnsi="Arial" w:cs="Arial"/>
          <w:sz w:val="22"/>
          <w:lang w:val="en-GB"/>
        </w:rPr>
        <w:tab/>
      </w:r>
      <w:r w:rsidRPr="002131C7">
        <w:rPr>
          <w:rFonts w:ascii="Arial" w:eastAsia="Calibri" w:hAnsi="Arial" w:cs="Arial"/>
          <w:sz w:val="22"/>
          <w:lang w:val="en-GB"/>
        </w:rPr>
        <w:tab/>
      </w:r>
      <w:r>
        <w:rPr>
          <w:rFonts w:ascii="Arial" w:eastAsia="Calibri" w:hAnsi="Arial" w:cs="Arial"/>
          <w:sz w:val="22"/>
          <w:lang w:val="en-GB"/>
        </w:rPr>
        <w:tab/>
      </w:r>
      <w:r>
        <w:rPr>
          <w:rFonts w:ascii="Arial" w:eastAsia="Calibri" w:hAnsi="Arial" w:cs="Arial"/>
          <w:sz w:val="22"/>
          <w:lang w:val="en-GB"/>
        </w:rPr>
        <w:tab/>
      </w:r>
      <w:r>
        <w:rPr>
          <w:rFonts w:ascii="Arial" w:eastAsia="Calibri" w:hAnsi="Arial" w:cs="Arial"/>
          <w:sz w:val="22"/>
          <w:lang w:val="en-GB"/>
        </w:rPr>
        <w:tab/>
      </w:r>
      <w:r>
        <w:rPr>
          <w:rFonts w:ascii="Arial" w:eastAsia="Calibri" w:hAnsi="Arial" w:cs="Arial"/>
          <w:sz w:val="22"/>
          <w:lang w:val="en-GB"/>
        </w:rPr>
        <w:tab/>
      </w:r>
      <w:r w:rsidRPr="002131C7">
        <w:rPr>
          <w:rFonts w:ascii="Arial" w:eastAsia="Calibri" w:hAnsi="Arial" w:cs="Arial"/>
          <w:sz w:val="22"/>
          <w:lang w:val="en-GB"/>
        </w:rPr>
        <w:tab/>
      </w:r>
      <w:r w:rsidRPr="002131C7">
        <w:rPr>
          <w:rFonts w:ascii="Arial" w:eastAsia="Calibri" w:hAnsi="Arial" w:cs="Arial"/>
          <w:sz w:val="22"/>
          <w:lang w:val="en-GB" w:eastAsia="en-ZA"/>
        </w:rPr>
        <w:t>NW3155E</w:t>
      </w:r>
    </w:p>
    <w:p w:rsidR="001433AE" w:rsidRPr="002131C7" w:rsidRDefault="001433AE" w:rsidP="001E5D45">
      <w:pPr>
        <w:spacing w:line="276" w:lineRule="auto"/>
        <w:ind w:left="720"/>
        <w:jc w:val="both"/>
        <w:outlineLvl w:val="0"/>
        <w:rPr>
          <w:rFonts w:ascii="Arial" w:eastAsia="Calibri" w:hAnsi="Arial" w:cs="Arial"/>
          <w:sz w:val="22"/>
          <w:lang w:val="en-GB"/>
        </w:rPr>
      </w:pPr>
      <w:r w:rsidRPr="002131C7">
        <w:rPr>
          <w:rFonts w:ascii="Arial" w:hAnsi="Arial" w:cs="Arial"/>
          <w:b/>
          <w:sz w:val="22"/>
        </w:rPr>
        <w:t>REPLY</w:t>
      </w:r>
      <w:r w:rsidRPr="002131C7">
        <w:rPr>
          <w:rFonts w:ascii="Arial" w:hAnsi="Arial" w:cs="Arial"/>
          <w:sz w:val="22"/>
        </w:rPr>
        <w:t>:</w:t>
      </w:r>
    </w:p>
    <w:p w:rsidR="00BE3B73" w:rsidRPr="001E5D45" w:rsidRDefault="00BE3B73" w:rsidP="001E5D45">
      <w:pPr>
        <w:tabs>
          <w:tab w:val="left" w:pos="432"/>
          <w:tab w:val="left" w:pos="864"/>
        </w:tabs>
        <w:spacing w:line="276" w:lineRule="auto"/>
        <w:ind w:left="720"/>
        <w:rPr>
          <w:rFonts w:ascii="Arial" w:hAnsi="Arial" w:cs="Arial"/>
          <w:sz w:val="20"/>
          <w:szCs w:val="20"/>
        </w:rPr>
      </w:pPr>
    </w:p>
    <w:p w:rsidR="00BE3B73" w:rsidRPr="00912839" w:rsidRDefault="00020491" w:rsidP="001E5D45">
      <w:pPr>
        <w:pStyle w:val="ListParagraph"/>
        <w:numPr>
          <w:ilvl w:val="0"/>
          <w:numId w:val="6"/>
        </w:numPr>
        <w:spacing w:line="276" w:lineRule="auto"/>
        <w:ind w:hanging="720"/>
        <w:jc w:val="both"/>
        <w:rPr>
          <w:rFonts w:ascii="Arial" w:hAnsi="Arial" w:cs="Arial"/>
          <w:sz w:val="22"/>
          <w:szCs w:val="22"/>
        </w:rPr>
      </w:pPr>
      <w:r w:rsidRPr="00912839">
        <w:rPr>
          <w:rFonts w:ascii="Arial" w:hAnsi="Arial" w:cs="Arial"/>
          <w:sz w:val="22"/>
          <w:szCs w:val="22"/>
        </w:rPr>
        <w:t xml:space="preserve">Yes - </w:t>
      </w:r>
      <w:r w:rsidR="00BE3B73" w:rsidRPr="00912839">
        <w:rPr>
          <w:rFonts w:ascii="Arial" w:hAnsi="Arial" w:cs="Arial"/>
          <w:sz w:val="22"/>
          <w:szCs w:val="22"/>
        </w:rPr>
        <w:t>As part of the quarterly Section 71 publications municipalities are required to submit the status of their investment register together with the detail of each investment made.  These investment lists are published per municipality as part of the quarterly Section 71 results and can be accessed at:</w:t>
      </w:r>
    </w:p>
    <w:p w:rsidR="00BE3B73" w:rsidRPr="00BE3B73" w:rsidRDefault="00BE3B73" w:rsidP="001E5D45">
      <w:pPr>
        <w:tabs>
          <w:tab w:val="left" w:pos="432"/>
          <w:tab w:val="left" w:pos="864"/>
        </w:tabs>
        <w:spacing w:line="276" w:lineRule="auto"/>
        <w:ind w:left="720"/>
        <w:rPr>
          <w:rFonts w:ascii="Arial" w:hAnsi="Arial" w:cs="Arial"/>
          <w:sz w:val="22"/>
          <w:szCs w:val="22"/>
        </w:rPr>
      </w:pPr>
    </w:p>
    <w:p w:rsidR="00BE3B73" w:rsidRPr="00BE3B73" w:rsidRDefault="000A23F4" w:rsidP="001E5D45">
      <w:pPr>
        <w:spacing w:line="276" w:lineRule="auto"/>
        <w:ind w:left="720"/>
        <w:rPr>
          <w:rFonts w:ascii="Arial" w:hAnsi="Arial" w:cs="Arial"/>
          <w:sz w:val="22"/>
          <w:szCs w:val="22"/>
        </w:rPr>
      </w:pPr>
      <w:hyperlink r:id="rId6" w:history="1">
        <w:r w:rsidR="00BE3B73" w:rsidRPr="00221FFF">
          <w:rPr>
            <w:rStyle w:val="Hyperlink"/>
            <w:rFonts w:ascii="Arial" w:hAnsi="Arial" w:cs="Arial"/>
            <w:sz w:val="22"/>
            <w:szCs w:val="22"/>
          </w:rPr>
          <w:t>http://mfma.treasury.gov.za/Media_Releases/s71/Pages/default.aspx</w:t>
        </w:r>
      </w:hyperlink>
      <w:r w:rsidR="00BE3B73">
        <w:rPr>
          <w:rFonts w:ascii="Arial" w:hAnsi="Arial" w:cs="Arial"/>
          <w:sz w:val="22"/>
          <w:szCs w:val="22"/>
        </w:rPr>
        <w:t xml:space="preserve"> </w:t>
      </w:r>
    </w:p>
    <w:p w:rsidR="00BE3B73" w:rsidRPr="00BE3B73" w:rsidRDefault="00BE3B73" w:rsidP="001E5D45">
      <w:pPr>
        <w:tabs>
          <w:tab w:val="left" w:pos="432"/>
          <w:tab w:val="left" w:pos="864"/>
        </w:tabs>
        <w:spacing w:line="276" w:lineRule="auto"/>
        <w:ind w:left="720"/>
        <w:rPr>
          <w:rFonts w:ascii="Arial" w:hAnsi="Arial" w:cs="Arial"/>
          <w:sz w:val="22"/>
          <w:szCs w:val="22"/>
        </w:rPr>
      </w:pPr>
    </w:p>
    <w:p w:rsidR="00A2039C" w:rsidRPr="00615912" w:rsidRDefault="00F17DBE" w:rsidP="00A843A7">
      <w:pPr>
        <w:pStyle w:val="ListParagraph"/>
        <w:numPr>
          <w:ilvl w:val="0"/>
          <w:numId w:val="6"/>
        </w:numPr>
        <w:spacing w:line="276" w:lineRule="auto"/>
        <w:ind w:hanging="720"/>
        <w:jc w:val="both"/>
        <w:rPr>
          <w:rFonts w:ascii="Arial" w:hAnsi="Arial" w:cs="Arial"/>
          <w:sz w:val="22"/>
          <w:szCs w:val="22"/>
        </w:rPr>
      </w:pPr>
      <w:r w:rsidRPr="00615912">
        <w:rPr>
          <w:rFonts w:ascii="Arial" w:hAnsi="Arial" w:cs="Arial"/>
          <w:sz w:val="22"/>
          <w:szCs w:val="22"/>
        </w:rPr>
        <w:t xml:space="preserve">The Section 71 publication consists of the financial and conditional grant information of 257 municipalities. </w:t>
      </w:r>
      <w:r w:rsidR="001D0F51">
        <w:rPr>
          <w:rFonts w:ascii="Arial" w:hAnsi="Arial" w:cs="Arial"/>
          <w:sz w:val="22"/>
          <w:szCs w:val="22"/>
        </w:rPr>
        <w:t xml:space="preserve"> </w:t>
      </w:r>
      <w:r w:rsidRPr="00615912">
        <w:rPr>
          <w:rFonts w:ascii="Arial" w:hAnsi="Arial" w:cs="Arial"/>
          <w:sz w:val="22"/>
          <w:szCs w:val="22"/>
        </w:rPr>
        <w:t xml:space="preserve">The publication also covers 21 different conditional grants </w:t>
      </w:r>
      <w:r w:rsidR="001D0F51">
        <w:rPr>
          <w:rFonts w:ascii="Arial" w:hAnsi="Arial" w:cs="Arial"/>
          <w:sz w:val="22"/>
          <w:szCs w:val="22"/>
        </w:rPr>
        <w:t xml:space="preserve">and </w:t>
      </w:r>
      <w:r w:rsidRPr="00615912">
        <w:rPr>
          <w:rFonts w:ascii="Arial" w:hAnsi="Arial" w:cs="Arial"/>
          <w:sz w:val="22"/>
          <w:szCs w:val="22"/>
        </w:rPr>
        <w:t>additional information</w:t>
      </w:r>
      <w:r w:rsidR="00A2039C" w:rsidRPr="00615912">
        <w:rPr>
          <w:rFonts w:ascii="Arial" w:hAnsi="Arial" w:cs="Arial"/>
          <w:sz w:val="22"/>
          <w:szCs w:val="22"/>
        </w:rPr>
        <w:t xml:space="preserve"> in different dimensions to cater for a wide variety of stakeholders such as Parliament, Municipal councils, lenders, rating agencies and the general public</w:t>
      </w:r>
      <w:r w:rsidR="001D0F51">
        <w:rPr>
          <w:rFonts w:ascii="Arial" w:hAnsi="Arial" w:cs="Arial"/>
          <w:sz w:val="22"/>
          <w:szCs w:val="22"/>
        </w:rPr>
        <w:t>.  W</w:t>
      </w:r>
      <w:r w:rsidR="00615912" w:rsidRPr="00615912">
        <w:rPr>
          <w:rFonts w:ascii="Arial" w:hAnsi="Arial" w:cs="Arial"/>
          <w:sz w:val="22"/>
          <w:szCs w:val="22"/>
        </w:rPr>
        <w:t xml:space="preserve">ith respect to </w:t>
      </w:r>
      <w:r w:rsidR="001D0F51">
        <w:rPr>
          <w:rFonts w:ascii="Arial" w:hAnsi="Arial" w:cs="Arial"/>
          <w:sz w:val="22"/>
          <w:szCs w:val="22"/>
        </w:rPr>
        <w:t>investments</w:t>
      </w:r>
      <w:r w:rsidR="00CD236F">
        <w:rPr>
          <w:rFonts w:ascii="Arial" w:hAnsi="Arial" w:cs="Arial"/>
          <w:sz w:val="22"/>
          <w:szCs w:val="22"/>
        </w:rPr>
        <w:t>,</w:t>
      </w:r>
      <w:r w:rsidR="001D0F51">
        <w:rPr>
          <w:rFonts w:ascii="Arial" w:hAnsi="Arial" w:cs="Arial"/>
          <w:sz w:val="22"/>
          <w:szCs w:val="22"/>
        </w:rPr>
        <w:t xml:space="preserve"> </w:t>
      </w:r>
      <w:r w:rsidR="00A2039C" w:rsidRPr="00615912">
        <w:rPr>
          <w:rFonts w:ascii="Arial" w:hAnsi="Arial" w:cs="Arial"/>
          <w:sz w:val="22"/>
          <w:szCs w:val="22"/>
        </w:rPr>
        <w:t>municipalities reported on 2 563 investment instruments</w:t>
      </w:r>
      <w:r w:rsidR="00615912">
        <w:rPr>
          <w:rFonts w:ascii="Arial" w:hAnsi="Arial" w:cs="Arial"/>
          <w:sz w:val="22"/>
          <w:szCs w:val="22"/>
        </w:rPr>
        <w:t xml:space="preserve"> with various banks</w:t>
      </w:r>
      <w:r w:rsidR="001D0F51">
        <w:rPr>
          <w:rFonts w:ascii="Arial" w:hAnsi="Arial" w:cs="Arial"/>
          <w:sz w:val="22"/>
          <w:szCs w:val="22"/>
        </w:rPr>
        <w:t>.</w:t>
      </w:r>
    </w:p>
    <w:p w:rsidR="00615912" w:rsidRPr="001E5D45" w:rsidRDefault="00615912" w:rsidP="001E5D45">
      <w:pPr>
        <w:tabs>
          <w:tab w:val="left" w:pos="567"/>
        </w:tabs>
        <w:spacing w:line="276" w:lineRule="auto"/>
        <w:ind w:left="720" w:hanging="709"/>
        <w:jc w:val="both"/>
        <w:rPr>
          <w:rFonts w:ascii="Arial" w:hAnsi="Arial" w:cs="Arial"/>
          <w:sz w:val="20"/>
          <w:szCs w:val="20"/>
        </w:rPr>
      </w:pPr>
    </w:p>
    <w:p w:rsidR="00910391" w:rsidRDefault="00910391" w:rsidP="001E5D45">
      <w:pPr>
        <w:spacing w:line="276" w:lineRule="auto"/>
        <w:ind w:left="720"/>
        <w:jc w:val="both"/>
        <w:rPr>
          <w:rFonts w:ascii="Arial" w:hAnsi="Arial" w:cs="Arial"/>
          <w:sz w:val="22"/>
          <w:szCs w:val="22"/>
        </w:rPr>
      </w:pPr>
      <w:r w:rsidRPr="00910391">
        <w:rPr>
          <w:rFonts w:ascii="Arial" w:hAnsi="Arial" w:cs="Arial"/>
          <w:sz w:val="22"/>
          <w:szCs w:val="22"/>
        </w:rPr>
        <w:t>While the National Treasury collects, consolidates and publishes quarterly summaries in various financial dimensions for all municipalities, in terms of Section 151(3) of the Constitution, the municipal council remains the final accountable institution</w:t>
      </w:r>
      <w:r w:rsidR="004B182A">
        <w:rPr>
          <w:rFonts w:ascii="Arial" w:hAnsi="Arial" w:cs="Arial"/>
          <w:sz w:val="22"/>
          <w:szCs w:val="22"/>
        </w:rPr>
        <w:t xml:space="preserve">.  This is to </w:t>
      </w:r>
      <w:r>
        <w:rPr>
          <w:rFonts w:ascii="Arial" w:hAnsi="Arial" w:cs="Arial"/>
          <w:sz w:val="22"/>
          <w:szCs w:val="22"/>
        </w:rPr>
        <w:t xml:space="preserve">ensure that the information reported is used </w:t>
      </w:r>
      <w:r w:rsidR="004B182A">
        <w:rPr>
          <w:rFonts w:ascii="Arial" w:hAnsi="Arial" w:cs="Arial"/>
          <w:sz w:val="22"/>
          <w:szCs w:val="22"/>
        </w:rPr>
        <w:t xml:space="preserve">for </w:t>
      </w:r>
      <w:r>
        <w:rPr>
          <w:rFonts w:ascii="Arial" w:hAnsi="Arial" w:cs="Arial"/>
          <w:sz w:val="22"/>
          <w:szCs w:val="22"/>
        </w:rPr>
        <w:t xml:space="preserve">management </w:t>
      </w:r>
      <w:r w:rsidR="004B182A">
        <w:rPr>
          <w:rFonts w:ascii="Arial" w:hAnsi="Arial" w:cs="Arial"/>
          <w:sz w:val="22"/>
          <w:szCs w:val="22"/>
        </w:rPr>
        <w:t xml:space="preserve">purposes </w:t>
      </w:r>
      <w:r>
        <w:rPr>
          <w:rFonts w:ascii="Arial" w:hAnsi="Arial" w:cs="Arial"/>
          <w:sz w:val="22"/>
          <w:szCs w:val="22"/>
        </w:rPr>
        <w:t>and account</w:t>
      </w:r>
      <w:r w:rsidR="004B182A">
        <w:rPr>
          <w:rFonts w:ascii="Arial" w:hAnsi="Arial" w:cs="Arial"/>
          <w:sz w:val="22"/>
          <w:szCs w:val="22"/>
        </w:rPr>
        <w:t xml:space="preserve"> to the respective municipal </w:t>
      </w:r>
      <w:r>
        <w:rPr>
          <w:rFonts w:ascii="Arial" w:hAnsi="Arial" w:cs="Arial"/>
          <w:sz w:val="22"/>
          <w:szCs w:val="22"/>
        </w:rPr>
        <w:t>council</w:t>
      </w:r>
      <w:r w:rsidR="004B182A">
        <w:rPr>
          <w:rFonts w:ascii="Arial" w:hAnsi="Arial" w:cs="Arial"/>
          <w:sz w:val="22"/>
          <w:szCs w:val="22"/>
        </w:rPr>
        <w:t>s</w:t>
      </w:r>
      <w:r>
        <w:rPr>
          <w:rFonts w:ascii="Arial" w:hAnsi="Arial" w:cs="Arial"/>
          <w:sz w:val="22"/>
          <w:szCs w:val="22"/>
        </w:rPr>
        <w:t>.</w:t>
      </w:r>
    </w:p>
    <w:p w:rsidR="00910391" w:rsidRPr="001E5D45" w:rsidRDefault="00910391" w:rsidP="001E5D45">
      <w:pPr>
        <w:spacing w:line="276" w:lineRule="auto"/>
        <w:ind w:left="720" w:hanging="709"/>
        <w:jc w:val="both"/>
        <w:rPr>
          <w:rFonts w:ascii="Arial" w:hAnsi="Arial" w:cs="Arial"/>
          <w:sz w:val="20"/>
          <w:szCs w:val="20"/>
        </w:rPr>
      </w:pPr>
    </w:p>
    <w:p w:rsidR="00F17DBE" w:rsidRDefault="001E5D45" w:rsidP="00361F02">
      <w:pPr>
        <w:tabs>
          <w:tab w:val="left" w:pos="567"/>
        </w:tabs>
        <w:spacing w:line="276" w:lineRule="auto"/>
        <w:ind w:left="720" w:hanging="709"/>
        <w:jc w:val="both"/>
        <w:rPr>
          <w:rFonts w:ascii="Arial" w:hAnsi="Arial" w:cs="Arial"/>
          <w:b/>
          <w:sz w:val="22"/>
          <w:szCs w:val="22"/>
        </w:rPr>
      </w:pPr>
      <w:r>
        <w:rPr>
          <w:rFonts w:ascii="Arial" w:hAnsi="Arial" w:cs="Arial"/>
          <w:sz w:val="22"/>
          <w:szCs w:val="22"/>
        </w:rPr>
        <w:tab/>
      </w:r>
      <w:r>
        <w:rPr>
          <w:rFonts w:ascii="Arial" w:hAnsi="Arial" w:cs="Arial"/>
          <w:sz w:val="22"/>
          <w:szCs w:val="22"/>
        </w:rPr>
        <w:tab/>
      </w:r>
      <w:r w:rsidR="00615912">
        <w:rPr>
          <w:rFonts w:ascii="Arial" w:hAnsi="Arial" w:cs="Arial"/>
          <w:sz w:val="22"/>
          <w:szCs w:val="22"/>
        </w:rPr>
        <w:t>Considering the amount of data lines report</w:t>
      </w:r>
      <w:r w:rsidR="004B182A">
        <w:rPr>
          <w:rFonts w:ascii="Arial" w:hAnsi="Arial" w:cs="Arial"/>
          <w:sz w:val="22"/>
          <w:szCs w:val="22"/>
        </w:rPr>
        <w:t>ed</w:t>
      </w:r>
      <w:r w:rsidR="005C5CCE">
        <w:rPr>
          <w:rFonts w:ascii="Arial" w:hAnsi="Arial" w:cs="Arial"/>
          <w:sz w:val="22"/>
          <w:szCs w:val="22"/>
        </w:rPr>
        <w:t>,</w:t>
      </w:r>
      <w:r w:rsidR="00E3217F">
        <w:rPr>
          <w:rFonts w:ascii="Arial" w:hAnsi="Arial" w:cs="Arial"/>
          <w:sz w:val="22"/>
          <w:szCs w:val="22"/>
        </w:rPr>
        <w:t xml:space="preserve"> the </w:t>
      </w:r>
      <w:r w:rsidR="005C5CCE">
        <w:rPr>
          <w:rFonts w:ascii="Arial" w:hAnsi="Arial" w:cs="Arial"/>
          <w:sz w:val="22"/>
          <w:szCs w:val="22"/>
        </w:rPr>
        <w:t xml:space="preserve">investments associated with the VBS Mutual Bank </w:t>
      </w:r>
      <w:r w:rsidR="00E3217F">
        <w:rPr>
          <w:rFonts w:ascii="Arial" w:hAnsi="Arial" w:cs="Arial"/>
          <w:sz w:val="22"/>
          <w:szCs w:val="22"/>
        </w:rPr>
        <w:t>got absorbed in t</w:t>
      </w:r>
      <w:r w:rsidR="00910391">
        <w:rPr>
          <w:rFonts w:ascii="Arial" w:hAnsi="Arial" w:cs="Arial"/>
          <w:sz w:val="22"/>
          <w:szCs w:val="22"/>
        </w:rPr>
        <w:t>he national aggregation process</w:t>
      </w:r>
      <w:r w:rsidR="004B182A">
        <w:rPr>
          <w:rFonts w:ascii="Arial" w:hAnsi="Arial" w:cs="Arial"/>
          <w:sz w:val="22"/>
          <w:szCs w:val="22"/>
        </w:rPr>
        <w:t>.  S</w:t>
      </w:r>
      <w:r w:rsidR="00E3217F" w:rsidRPr="00912839">
        <w:rPr>
          <w:rFonts w:ascii="Arial" w:hAnsi="Arial" w:cs="Arial"/>
          <w:sz w:val="22"/>
          <w:szCs w:val="22"/>
        </w:rPr>
        <w:t xml:space="preserve">ection 13 </w:t>
      </w:r>
      <w:r w:rsidR="00E3217F">
        <w:rPr>
          <w:rFonts w:ascii="Arial" w:hAnsi="Arial" w:cs="Arial"/>
          <w:sz w:val="22"/>
          <w:szCs w:val="22"/>
        </w:rPr>
        <w:t xml:space="preserve">of the MFMA </w:t>
      </w:r>
      <w:r w:rsidR="00E3217F" w:rsidRPr="00912839">
        <w:rPr>
          <w:rFonts w:ascii="Arial" w:hAnsi="Arial" w:cs="Arial"/>
          <w:sz w:val="22"/>
          <w:szCs w:val="22"/>
        </w:rPr>
        <w:t xml:space="preserve">empowers the Minister of Finance to prescribe a framework within which municipalities may, amongst others, invest money not immediately required. </w:t>
      </w:r>
      <w:r w:rsidR="004B182A">
        <w:rPr>
          <w:rFonts w:ascii="Arial" w:hAnsi="Arial" w:cs="Arial"/>
          <w:sz w:val="22"/>
          <w:szCs w:val="22"/>
        </w:rPr>
        <w:t xml:space="preserve"> </w:t>
      </w:r>
      <w:r w:rsidR="00E3217F" w:rsidRPr="00912839">
        <w:rPr>
          <w:rFonts w:ascii="Arial" w:hAnsi="Arial" w:cs="Arial"/>
          <w:sz w:val="22"/>
          <w:szCs w:val="22"/>
        </w:rPr>
        <w:t xml:space="preserve">Such a framework was provided in the Municipal Investment Regulations which sets out a list of permitted investments municipalities may invest municipal funds. </w:t>
      </w:r>
      <w:r w:rsidR="004B182A">
        <w:rPr>
          <w:rFonts w:ascii="Arial" w:hAnsi="Arial" w:cs="Arial"/>
          <w:sz w:val="22"/>
          <w:szCs w:val="22"/>
        </w:rPr>
        <w:t xml:space="preserve"> </w:t>
      </w:r>
      <w:r w:rsidR="00E3217F" w:rsidRPr="00912839">
        <w:rPr>
          <w:rFonts w:ascii="Arial" w:hAnsi="Arial" w:cs="Arial"/>
          <w:sz w:val="22"/>
          <w:szCs w:val="22"/>
        </w:rPr>
        <w:t xml:space="preserve">In terms of Regulation 6, municipalities may invest funds only in banks registered in terms of the Banks Act. </w:t>
      </w:r>
      <w:r w:rsidR="004B182A">
        <w:rPr>
          <w:rFonts w:ascii="Arial" w:hAnsi="Arial" w:cs="Arial"/>
          <w:sz w:val="22"/>
          <w:szCs w:val="22"/>
        </w:rPr>
        <w:t xml:space="preserve"> </w:t>
      </w:r>
      <w:r w:rsidR="00E3217F" w:rsidRPr="00912839">
        <w:rPr>
          <w:rFonts w:ascii="Arial" w:hAnsi="Arial" w:cs="Arial"/>
          <w:sz w:val="22"/>
          <w:szCs w:val="22"/>
        </w:rPr>
        <w:t xml:space="preserve">The Venda Building Society Mutual Bank (VBS) is not registered under the Banks Act of </w:t>
      </w:r>
      <w:r w:rsidR="00910391" w:rsidRPr="00912839">
        <w:rPr>
          <w:rFonts w:ascii="Arial" w:hAnsi="Arial" w:cs="Arial"/>
          <w:sz w:val="22"/>
          <w:szCs w:val="22"/>
        </w:rPr>
        <w:t xml:space="preserve">1990, </w:t>
      </w:r>
      <w:r w:rsidR="00910391">
        <w:rPr>
          <w:rFonts w:ascii="Arial" w:hAnsi="Arial" w:cs="Arial"/>
          <w:sz w:val="22"/>
          <w:szCs w:val="22"/>
        </w:rPr>
        <w:t>it</w:t>
      </w:r>
      <w:r w:rsidR="00615912">
        <w:rPr>
          <w:rFonts w:ascii="Arial" w:hAnsi="Arial" w:cs="Arial"/>
          <w:sz w:val="22"/>
          <w:szCs w:val="22"/>
        </w:rPr>
        <w:t xml:space="preserve"> was never envisaged that municipalities </w:t>
      </w:r>
      <w:r w:rsidR="00910391">
        <w:rPr>
          <w:rFonts w:ascii="Arial" w:hAnsi="Arial" w:cs="Arial"/>
          <w:sz w:val="22"/>
          <w:szCs w:val="22"/>
        </w:rPr>
        <w:t xml:space="preserve">(Municipal managers and CFOs) </w:t>
      </w:r>
      <w:r w:rsidR="00615912">
        <w:rPr>
          <w:rFonts w:ascii="Arial" w:hAnsi="Arial" w:cs="Arial"/>
          <w:sz w:val="22"/>
          <w:szCs w:val="22"/>
        </w:rPr>
        <w:t xml:space="preserve">would deliberately break the law in their choices of where they invest. </w:t>
      </w:r>
      <w:r w:rsidR="004B182A">
        <w:rPr>
          <w:rFonts w:ascii="Arial" w:hAnsi="Arial" w:cs="Arial"/>
          <w:sz w:val="22"/>
          <w:szCs w:val="22"/>
        </w:rPr>
        <w:t xml:space="preserve"> </w:t>
      </w:r>
      <w:r w:rsidR="00910391">
        <w:rPr>
          <w:rFonts w:ascii="Arial" w:hAnsi="Arial" w:cs="Arial"/>
          <w:sz w:val="22"/>
          <w:szCs w:val="22"/>
        </w:rPr>
        <w:t>To address this issue, t</w:t>
      </w:r>
      <w:r w:rsidR="00E3217F">
        <w:rPr>
          <w:rFonts w:ascii="Arial" w:hAnsi="Arial" w:cs="Arial"/>
          <w:sz w:val="22"/>
          <w:szCs w:val="22"/>
        </w:rPr>
        <w:t xml:space="preserve">he National Treasury has now, as part of the </w:t>
      </w:r>
      <w:proofErr w:type="spellStart"/>
      <w:r w:rsidR="00E3217F" w:rsidRPr="004B182A">
        <w:rPr>
          <w:rFonts w:ascii="Arial" w:hAnsi="Arial" w:cs="Arial"/>
          <w:i/>
          <w:sz w:val="22"/>
          <w:szCs w:val="22"/>
        </w:rPr>
        <w:t>m</w:t>
      </w:r>
      <w:r w:rsidR="00E3217F" w:rsidRPr="004B182A">
        <w:rPr>
          <w:rFonts w:ascii="Arial" w:hAnsi="Arial" w:cs="Arial"/>
          <w:sz w:val="22"/>
          <w:szCs w:val="22"/>
        </w:rPr>
        <w:t>SCOA</w:t>
      </w:r>
      <w:proofErr w:type="spellEnd"/>
      <w:r w:rsidR="00E3217F" w:rsidRPr="004B182A">
        <w:rPr>
          <w:rFonts w:ascii="Arial" w:hAnsi="Arial" w:cs="Arial"/>
          <w:sz w:val="22"/>
          <w:szCs w:val="22"/>
        </w:rPr>
        <w:t xml:space="preserve"> </w:t>
      </w:r>
      <w:r w:rsidR="00E3217F">
        <w:rPr>
          <w:rFonts w:ascii="Arial" w:hAnsi="Arial" w:cs="Arial"/>
          <w:sz w:val="22"/>
          <w:szCs w:val="22"/>
        </w:rPr>
        <w:t>reform improved the reporting on investment information to only be linked to registered banks aligned to Regulation 6.</w:t>
      </w:r>
    </w:p>
    <w:sectPr w:rsidR="00F17DBE" w:rsidSect="001E5D45">
      <w:pgSz w:w="11907" w:h="16839" w:code="9"/>
      <w:pgMar w:top="851" w:right="1620" w:bottom="851"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C328F"/>
    <w:multiLevelType w:val="hybridMultilevel"/>
    <w:tmpl w:val="2FA8B06C"/>
    <w:lvl w:ilvl="0" w:tplc="27A2D0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6FC16C1"/>
    <w:multiLevelType w:val="hybridMultilevel"/>
    <w:tmpl w:val="A9A0F77C"/>
    <w:lvl w:ilvl="0" w:tplc="9DBEF81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BF127CB"/>
    <w:multiLevelType w:val="hybridMultilevel"/>
    <w:tmpl w:val="99C8F6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E51F3"/>
    <w:multiLevelType w:val="hybridMultilevel"/>
    <w:tmpl w:val="5BAC6B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DAD4E23"/>
    <w:multiLevelType w:val="hybridMultilevel"/>
    <w:tmpl w:val="073034F6"/>
    <w:lvl w:ilvl="0" w:tplc="879C15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5E53519"/>
    <w:multiLevelType w:val="hybridMultilevel"/>
    <w:tmpl w:val="8E8AE8F8"/>
    <w:lvl w:ilvl="0" w:tplc="669E3C70">
      <w:start w:val="1"/>
      <w:numFmt w:val="decimal"/>
      <w:pStyle w:val="outlinenumbered"/>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9145115"/>
    <w:multiLevelType w:val="hybridMultilevel"/>
    <w:tmpl w:val="A63A9100"/>
    <w:lvl w:ilvl="0" w:tplc="87EE568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8A6EFB"/>
    <w:multiLevelType w:val="hybridMultilevel"/>
    <w:tmpl w:val="F8FA418E"/>
    <w:lvl w:ilvl="0" w:tplc="AC086482">
      <w:start w:val="1"/>
      <w:numFmt w:val="decimal"/>
      <w:lvlText w:val="%1."/>
      <w:lvlJc w:val="left"/>
      <w:pPr>
        <w:ind w:left="7590" w:hanging="360"/>
      </w:pPr>
      <w:rPr>
        <w:rFonts w:hint="default"/>
        <w:b w:val="0"/>
        <w:i w:val="0"/>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num>
  <w:num w:numId="8">
    <w:abstractNumId w:val="9"/>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7859"/>
    <w:rsid w:val="00011016"/>
    <w:rsid w:val="00016A41"/>
    <w:rsid w:val="00020491"/>
    <w:rsid w:val="00020C04"/>
    <w:rsid w:val="00023BC3"/>
    <w:rsid w:val="00040C8E"/>
    <w:rsid w:val="00042E4A"/>
    <w:rsid w:val="00063E28"/>
    <w:rsid w:val="00072EBE"/>
    <w:rsid w:val="000A03A9"/>
    <w:rsid w:val="000A23F4"/>
    <w:rsid w:val="000B5D30"/>
    <w:rsid w:val="000C2BEF"/>
    <w:rsid w:val="000C48D8"/>
    <w:rsid w:val="000E0FF8"/>
    <w:rsid w:val="000E1B36"/>
    <w:rsid w:val="000F3B14"/>
    <w:rsid w:val="000F477D"/>
    <w:rsid w:val="001433AE"/>
    <w:rsid w:val="0014441E"/>
    <w:rsid w:val="0015727B"/>
    <w:rsid w:val="00193F0D"/>
    <w:rsid w:val="00197576"/>
    <w:rsid w:val="001A58A9"/>
    <w:rsid w:val="001B0917"/>
    <w:rsid w:val="001D0F51"/>
    <w:rsid w:val="001D402D"/>
    <w:rsid w:val="001D4937"/>
    <w:rsid w:val="001D540F"/>
    <w:rsid w:val="001E3FB5"/>
    <w:rsid w:val="001E5D45"/>
    <w:rsid w:val="001E6902"/>
    <w:rsid w:val="001F4430"/>
    <w:rsid w:val="001F4B50"/>
    <w:rsid w:val="00207912"/>
    <w:rsid w:val="002131C7"/>
    <w:rsid w:val="0022502D"/>
    <w:rsid w:val="00236C35"/>
    <w:rsid w:val="002855CE"/>
    <w:rsid w:val="002867DD"/>
    <w:rsid w:val="002A4157"/>
    <w:rsid w:val="002C77FD"/>
    <w:rsid w:val="002F6E86"/>
    <w:rsid w:val="00304578"/>
    <w:rsid w:val="00307402"/>
    <w:rsid w:val="003421BD"/>
    <w:rsid w:val="00344553"/>
    <w:rsid w:val="00351BF5"/>
    <w:rsid w:val="00361F02"/>
    <w:rsid w:val="003F3C43"/>
    <w:rsid w:val="00402C47"/>
    <w:rsid w:val="0043065E"/>
    <w:rsid w:val="00455CE1"/>
    <w:rsid w:val="0047127F"/>
    <w:rsid w:val="00472D86"/>
    <w:rsid w:val="00485B2E"/>
    <w:rsid w:val="004A078E"/>
    <w:rsid w:val="004B182A"/>
    <w:rsid w:val="004F43FB"/>
    <w:rsid w:val="005141B3"/>
    <w:rsid w:val="00532BB4"/>
    <w:rsid w:val="00533C35"/>
    <w:rsid w:val="005706F1"/>
    <w:rsid w:val="00574E19"/>
    <w:rsid w:val="005A25BC"/>
    <w:rsid w:val="005C5CCE"/>
    <w:rsid w:val="00612FCD"/>
    <w:rsid w:val="00613FC6"/>
    <w:rsid w:val="00615912"/>
    <w:rsid w:val="006239F1"/>
    <w:rsid w:val="00624D20"/>
    <w:rsid w:val="0062770E"/>
    <w:rsid w:val="0064275F"/>
    <w:rsid w:val="00646E7C"/>
    <w:rsid w:val="00647EF2"/>
    <w:rsid w:val="00653A85"/>
    <w:rsid w:val="00674982"/>
    <w:rsid w:val="00685058"/>
    <w:rsid w:val="00693A64"/>
    <w:rsid w:val="006D1766"/>
    <w:rsid w:val="007118EA"/>
    <w:rsid w:val="00726A9C"/>
    <w:rsid w:val="007359BF"/>
    <w:rsid w:val="00743F26"/>
    <w:rsid w:val="007540E0"/>
    <w:rsid w:val="007663AF"/>
    <w:rsid w:val="0076668B"/>
    <w:rsid w:val="007749D9"/>
    <w:rsid w:val="00780F57"/>
    <w:rsid w:val="00791465"/>
    <w:rsid w:val="007914E0"/>
    <w:rsid w:val="007A32AF"/>
    <w:rsid w:val="007B1BA1"/>
    <w:rsid w:val="007D0823"/>
    <w:rsid w:val="007D4060"/>
    <w:rsid w:val="007D40D2"/>
    <w:rsid w:val="007E56A2"/>
    <w:rsid w:val="007F197E"/>
    <w:rsid w:val="007F223D"/>
    <w:rsid w:val="00803AC4"/>
    <w:rsid w:val="00813FF0"/>
    <w:rsid w:val="008321A4"/>
    <w:rsid w:val="00840093"/>
    <w:rsid w:val="00852DC3"/>
    <w:rsid w:val="00876CBB"/>
    <w:rsid w:val="00891265"/>
    <w:rsid w:val="008B4E4F"/>
    <w:rsid w:val="008C2559"/>
    <w:rsid w:val="008E01C3"/>
    <w:rsid w:val="008E4142"/>
    <w:rsid w:val="009021F5"/>
    <w:rsid w:val="00910391"/>
    <w:rsid w:val="00911717"/>
    <w:rsid w:val="00912839"/>
    <w:rsid w:val="009163A5"/>
    <w:rsid w:val="00953363"/>
    <w:rsid w:val="0096007E"/>
    <w:rsid w:val="009951EA"/>
    <w:rsid w:val="009A18A7"/>
    <w:rsid w:val="009A3C71"/>
    <w:rsid w:val="009C69F6"/>
    <w:rsid w:val="009E1AB2"/>
    <w:rsid w:val="009E357F"/>
    <w:rsid w:val="009F0C7C"/>
    <w:rsid w:val="00A02200"/>
    <w:rsid w:val="00A11CD8"/>
    <w:rsid w:val="00A2039C"/>
    <w:rsid w:val="00A344CE"/>
    <w:rsid w:val="00A45FE5"/>
    <w:rsid w:val="00A525F0"/>
    <w:rsid w:val="00A566A2"/>
    <w:rsid w:val="00A5731A"/>
    <w:rsid w:val="00A677C3"/>
    <w:rsid w:val="00A72B9B"/>
    <w:rsid w:val="00A843A7"/>
    <w:rsid w:val="00AA4ED9"/>
    <w:rsid w:val="00AC264D"/>
    <w:rsid w:val="00AD00CE"/>
    <w:rsid w:val="00AD5C9B"/>
    <w:rsid w:val="00AE07DE"/>
    <w:rsid w:val="00B03AF4"/>
    <w:rsid w:val="00B03DD6"/>
    <w:rsid w:val="00B150CC"/>
    <w:rsid w:val="00B20E37"/>
    <w:rsid w:val="00B2276A"/>
    <w:rsid w:val="00B23547"/>
    <w:rsid w:val="00B35E0C"/>
    <w:rsid w:val="00B447E6"/>
    <w:rsid w:val="00B5649A"/>
    <w:rsid w:val="00B72D0B"/>
    <w:rsid w:val="00B77F67"/>
    <w:rsid w:val="00B913C7"/>
    <w:rsid w:val="00B95452"/>
    <w:rsid w:val="00BC3150"/>
    <w:rsid w:val="00BD31C6"/>
    <w:rsid w:val="00BE3B73"/>
    <w:rsid w:val="00BF5863"/>
    <w:rsid w:val="00C25C7E"/>
    <w:rsid w:val="00C312EA"/>
    <w:rsid w:val="00C44C35"/>
    <w:rsid w:val="00C472D6"/>
    <w:rsid w:val="00C60822"/>
    <w:rsid w:val="00C82101"/>
    <w:rsid w:val="00CB4FDB"/>
    <w:rsid w:val="00CB51AD"/>
    <w:rsid w:val="00CC2F3E"/>
    <w:rsid w:val="00CD236F"/>
    <w:rsid w:val="00D01E04"/>
    <w:rsid w:val="00D22E21"/>
    <w:rsid w:val="00D363B6"/>
    <w:rsid w:val="00D57C49"/>
    <w:rsid w:val="00D8139F"/>
    <w:rsid w:val="00DB2463"/>
    <w:rsid w:val="00DC769E"/>
    <w:rsid w:val="00DD5296"/>
    <w:rsid w:val="00DE122E"/>
    <w:rsid w:val="00DE76CB"/>
    <w:rsid w:val="00DF0D26"/>
    <w:rsid w:val="00E3217F"/>
    <w:rsid w:val="00E42AEE"/>
    <w:rsid w:val="00E55071"/>
    <w:rsid w:val="00E60EE1"/>
    <w:rsid w:val="00E7384D"/>
    <w:rsid w:val="00E77DF6"/>
    <w:rsid w:val="00E8352B"/>
    <w:rsid w:val="00EA468F"/>
    <w:rsid w:val="00EA6A49"/>
    <w:rsid w:val="00EC4BF6"/>
    <w:rsid w:val="00ED51F7"/>
    <w:rsid w:val="00F03C60"/>
    <w:rsid w:val="00F17DBE"/>
    <w:rsid w:val="00F51C17"/>
    <w:rsid w:val="00F5571A"/>
    <w:rsid w:val="00F65949"/>
    <w:rsid w:val="00F754AB"/>
    <w:rsid w:val="00F87EA6"/>
    <w:rsid w:val="00F90386"/>
    <w:rsid w:val="00FB0ABC"/>
    <w:rsid w:val="00FB7230"/>
    <w:rsid w:val="00FC2064"/>
    <w:rsid w:val="00FD59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3408DD-F545-4B4C-9876-A667D5FA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customStyle="1" w:styleId="Default">
    <w:name w:val="Default"/>
    <w:rsid w:val="009021F5"/>
    <w:pPr>
      <w:autoSpaceDE w:val="0"/>
      <w:autoSpaceDN w:val="0"/>
      <w:adjustRightInd w:val="0"/>
    </w:pPr>
    <w:rPr>
      <w:color w:val="000000"/>
      <w:sz w:val="24"/>
      <w:szCs w:val="24"/>
    </w:rPr>
  </w:style>
  <w:style w:type="character" w:styleId="Hyperlink">
    <w:name w:val="Hyperlink"/>
    <w:basedOn w:val="DefaultParagraphFont"/>
    <w:unhideWhenUsed/>
    <w:rsid w:val="00BE3B73"/>
    <w:rPr>
      <w:color w:val="0000FF" w:themeColor="hyperlink"/>
      <w:u w:val="single"/>
    </w:rPr>
  </w:style>
  <w:style w:type="paragraph" w:styleId="BodyText">
    <w:name w:val="Body Text"/>
    <w:basedOn w:val="Normal"/>
    <w:link w:val="BodyTextChar"/>
    <w:semiHidden/>
    <w:unhideWhenUsed/>
    <w:rsid w:val="00912839"/>
    <w:pPr>
      <w:spacing w:after="120"/>
    </w:pPr>
  </w:style>
  <w:style w:type="character" w:customStyle="1" w:styleId="BodyTextChar">
    <w:name w:val="Body Text Char"/>
    <w:basedOn w:val="DefaultParagraphFont"/>
    <w:link w:val="BodyText"/>
    <w:semiHidden/>
    <w:rsid w:val="00912839"/>
    <w:rPr>
      <w:sz w:val="24"/>
      <w:szCs w:val="24"/>
      <w:lang w:val="en-US" w:eastAsia="en-US"/>
    </w:rPr>
  </w:style>
  <w:style w:type="paragraph" w:customStyle="1" w:styleId="outlinenumbered">
    <w:name w:val="outline numbered"/>
    <w:basedOn w:val="Normal"/>
    <w:rsid w:val="00F17DBE"/>
    <w:pPr>
      <w:numPr>
        <w:numId w:val="10"/>
      </w:numPr>
      <w:jc w:val="both"/>
    </w:pPr>
    <w:rPr>
      <w:rFonts w:ascii="Arial" w:hAnsi="Arial"/>
      <w:sz w:val="22"/>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fma.treasury.gov.za/Media_Releases/s71/Pages/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4F2B-462D-4AE5-84DC-D93CA715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2018-06-05T09:05:00Z</cp:lastPrinted>
  <dcterms:created xsi:type="dcterms:W3CDTF">2018-12-31T13:11:00Z</dcterms:created>
  <dcterms:modified xsi:type="dcterms:W3CDTF">2018-12-31T13:11:00Z</dcterms:modified>
</cp:coreProperties>
</file>