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8D" w:rsidRDefault="00D83B09"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56945" cy="798830"/>
                    </a:xfrm>
                    <a:prstGeom prst="rect">
                      <a:avLst/>
                    </a:prstGeom>
                    <a:noFill/>
                  </pic:spPr>
                </pic:pic>
              </a:graphicData>
            </a:graphic>
          </wp:inline>
        </w:drawing>
      </w:r>
    </w:p>
    <w:p w:rsidR="001F2F8D" w:rsidRPr="001F2F8D" w:rsidRDefault="001F2F8D" w:rsidP="001F2F8D">
      <w:pPr>
        <w:jc w:val="center"/>
        <w:rPr>
          <w:rFonts w:ascii="Arial" w:eastAsia="Calibri" w:hAnsi="Arial" w:cs="Arial"/>
          <w:b/>
          <w:lang w:val="en-ZA"/>
        </w:rPr>
      </w:pPr>
      <w:r w:rsidRPr="001F2F8D">
        <w:rPr>
          <w:rFonts w:ascii="Arial" w:eastAsia="Calibri" w:hAnsi="Arial" w:cs="Arial"/>
          <w:b/>
          <w:lang w:val="en-ZA"/>
        </w:rPr>
        <w:t>MINISTRY:  JUSTICE AND CORRECTIONAL SERVICES</w:t>
      </w:r>
    </w:p>
    <w:p w:rsidR="001F2F8D" w:rsidRPr="001F2F8D" w:rsidRDefault="001F2F8D" w:rsidP="001F2F8D">
      <w:pPr>
        <w:jc w:val="center"/>
        <w:outlineLvl w:val="0"/>
        <w:rPr>
          <w:rFonts w:ascii="Arial" w:eastAsia="Arial Unicode MS" w:hAnsi="Arial"/>
          <w:b/>
          <w:color w:val="000000"/>
          <w:szCs w:val="20"/>
          <w:lang w:val="en-ZA" w:eastAsia="en-ZA"/>
        </w:rPr>
      </w:pPr>
      <w:r w:rsidRPr="001F2F8D">
        <w:rPr>
          <w:rFonts w:ascii="Arial" w:eastAsia="Arial Unicode MS" w:hAnsi="Arial Unicode MS"/>
          <w:b/>
          <w:color w:val="000000"/>
          <w:szCs w:val="20"/>
          <w:lang w:val="en-ZA" w:eastAsia="en-ZA"/>
        </w:rPr>
        <w:t>REPUBLIC OF SOUTH AFRICA</w:t>
      </w:r>
    </w:p>
    <w:p w:rsidR="001F2F8D" w:rsidRPr="001F2F8D" w:rsidRDefault="001F2F8D" w:rsidP="001F2F8D">
      <w:pPr>
        <w:pBdr>
          <w:bottom w:val="single" w:sz="4" w:space="1" w:color="auto"/>
        </w:pBdr>
        <w:jc w:val="center"/>
        <w:rPr>
          <w:rFonts w:ascii="Calibri" w:eastAsia="Calibri" w:hAnsi="Calibri"/>
          <w:sz w:val="22"/>
          <w:szCs w:val="22"/>
          <w:lang w:val="en-ZA"/>
        </w:rPr>
      </w:pPr>
    </w:p>
    <w:p w:rsidR="00130BDB" w:rsidRPr="008C0966" w:rsidRDefault="00130BDB" w:rsidP="001F2F8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F2F8D" w:rsidP="001F2F8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1F2F8D" w:rsidP="001F2F8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A2151">
        <w:rPr>
          <w:rFonts w:ascii="Arial" w:eastAsia="Calibri" w:hAnsi="Arial" w:cs="Arial"/>
          <w:b/>
          <w:bCs/>
          <w:lang w:val="en-GB"/>
        </w:rPr>
        <w:t>2</w:t>
      </w:r>
      <w:r w:rsidR="001B727C">
        <w:rPr>
          <w:rFonts w:ascii="Arial" w:eastAsia="Calibri" w:hAnsi="Arial" w:cs="Arial"/>
          <w:b/>
          <w:bCs/>
          <w:lang w:val="en-GB"/>
        </w:rPr>
        <w:t>8</w:t>
      </w:r>
      <w:r w:rsidR="004B69E2">
        <w:rPr>
          <w:rFonts w:ascii="Arial" w:eastAsia="Calibri" w:hAnsi="Arial" w:cs="Arial"/>
          <w:b/>
          <w:bCs/>
          <w:lang w:val="en-GB"/>
        </w:rPr>
        <w:t>4</w:t>
      </w:r>
      <w:r w:rsidR="00B878DF">
        <w:rPr>
          <w:rFonts w:ascii="Arial" w:eastAsia="Calibri" w:hAnsi="Arial" w:cs="Arial"/>
          <w:b/>
          <w:bCs/>
          <w:lang w:val="en-GB"/>
        </w:rPr>
        <w:t>2</w:t>
      </w:r>
    </w:p>
    <w:p w:rsidR="00130BDB" w:rsidRPr="001F2F8D" w:rsidRDefault="00130BDB" w:rsidP="001F2F8D">
      <w:pPr>
        <w:spacing w:after="200" w:line="276" w:lineRule="auto"/>
        <w:rPr>
          <w:rFonts w:ascii="Arial" w:eastAsia="Calibri" w:hAnsi="Arial" w:cs="Arial"/>
          <w:b/>
          <w:bCs/>
          <w:lang w:val="en-GB"/>
        </w:rPr>
      </w:pPr>
      <w:r w:rsidRPr="001F2F8D">
        <w:rPr>
          <w:rFonts w:ascii="Arial" w:eastAsia="Calibri" w:hAnsi="Arial" w:cs="Arial"/>
          <w:b/>
          <w:bCs/>
          <w:lang w:val="en-GB"/>
        </w:rPr>
        <w:t xml:space="preserve">DATE OF QUESTION: </w:t>
      </w:r>
      <w:r w:rsidR="00640DE8" w:rsidRPr="001F2F8D">
        <w:rPr>
          <w:rFonts w:ascii="Arial" w:eastAsia="Calibri" w:hAnsi="Arial" w:cs="Arial"/>
          <w:b/>
          <w:bCs/>
          <w:lang w:val="en-GB"/>
        </w:rPr>
        <w:t>02</w:t>
      </w:r>
      <w:r w:rsidR="001F2F8D" w:rsidRPr="001F2F8D">
        <w:rPr>
          <w:rFonts w:ascii="Arial" w:eastAsia="Calibri" w:hAnsi="Arial" w:cs="Arial"/>
          <w:b/>
          <w:bCs/>
          <w:lang w:val="en-GB"/>
        </w:rPr>
        <w:t xml:space="preserve"> SEPTEMBER </w:t>
      </w:r>
      <w:r w:rsidRPr="001F2F8D">
        <w:rPr>
          <w:rFonts w:ascii="Arial" w:eastAsia="Calibri" w:hAnsi="Arial" w:cs="Arial"/>
          <w:b/>
          <w:bCs/>
          <w:lang w:val="en-GB"/>
        </w:rPr>
        <w:t>20</w:t>
      </w:r>
      <w:r w:rsidR="003F2E8D" w:rsidRPr="001F2F8D">
        <w:rPr>
          <w:rFonts w:ascii="Arial" w:eastAsia="Calibri" w:hAnsi="Arial" w:cs="Arial"/>
          <w:b/>
          <w:bCs/>
          <w:lang w:val="en-GB"/>
        </w:rPr>
        <w:t>2</w:t>
      </w:r>
      <w:r w:rsidR="00CC7543" w:rsidRPr="001F2F8D">
        <w:rPr>
          <w:rFonts w:ascii="Arial" w:eastAsia="Calibri" w:hAnsi="Arial" w:cs="Arial"/>
          <w:b/>
          <w:bCs/>
          <w:lang w:val="en-GB"/>
        </w:rPr>
        <w:t>2</w:t>
      </w:r>
    </w:p>
    <w:p w:rsidR="001F2F8D" w:rsidRPr="001F2F8D" w:rsidRDefault="001F2F8D" w:rsidP="001F2F8D">
      <w:pPr>
        <w:spacing w:after="200" w:line="276" w:lineRule="auto"/>
        <w:rPr>
          <w:rFonts w:ascii="Arial" w:eastAsia="Calibri" w:hAnsi="Arial" w:cs="Arial"/>
          <w:b/>
          <w:bCs/>
          <w:lang w:val="en-GB"/>
        </w:rPr>
      </w:pPr>
      <w:r w:rsidRPr="001F2F8D">
        <w:rPr>
          <w:rFonts w:ascii="Arial" w:eastAsia="Calibri" w:hAnsi="Arial" w:cs="Arial"/>
          <w:b/>
          <w:bCs/>
          <w:lang w:val="en-GB"/>
        </w:rPr>
        <w:t>DATE OF SUBMISSION: 16 SEPTEMBER 2022</w:t>
      </w:r>
    </w:p>
    <w:p w:rsidR="004B69E2" w:rsidRPr="004B69E2" w:rsidRDefault="004B69E2" w:rsidP="004B69E2">
      <w:pPr>
        <w:spacing w:before="120" w:after="120" w:line="360" w:lineRule="auto"/>
        <w:jc w:val="both"/>
        <w:rPr>
          <w:rFonts w:ascii="Arial" w:hAnsi="Arial" w:cs="Arial"/>
          <w:b/>
          <w:bCs/>
          <w:lang w:val="en-ZA"/>
        </w:rPr>
      </w:pPr>
      <w:r w:rsidRPr="004B69E2">
        <w:rPr>
          <w:rFonts w:ascii="Arial" w:hAnsi="Arial" w:cs="Arial"/>
          <w:b/>
          <w:bCs/>
          <w:lang w:val="en-ZA"/>
        </w:rPr>
        <w:t xml:space="preserve">Prof C T Msimang (IFP) to ask the Minister of Justice and Correctional Services: </w:t>
      </w:r>
    </w:p>
    <w:p w:rsidR="00B878DF" w:rsidRPr="00B878DF" w:rsidRDefault="00B878DF" w:rsidP="00B878DF">
      <w:pPr>
        <w:numPr>
          <w:ilvl w:val="0"/>
          <w:numId w:val="23"/>
        </w:numPr>
        <w:spacing w:before="120" w:after="120" w:line="360" w:lineRule="auto"/>
        <w:jc w:val="both"/>
        <w:rPr>
          <w:rFonts w:ascii="Arial" w:hAnsi="Arial" w:cs="Arial"/>
          <w:lang w:val="en-ZA"/>
        </w:rPr>
      </w:pPr>
      <w:r w:rsidRPr="00B878DF">
        <w:rPr>
          <w:rFonts w:ascii="Arial" w:hAnsi="Arial" w:cs="Arial"/>
          <w:lang w:val="en-ZA"/>
        </w:rPr>
        <w:t>Whether, with reference to the protection of whistleblowers in terms of the Protected Disclosures Act, Act 26 of 2000, his department has considered including other commercial relationships such as procurement corruption; if not, why not; if so, what are the relevant details;</w:t>
      </w:r>
    </w:p>
    <w:p w:rsidR="00B878DF" w:rsidRPr="00B878DF" w:rsidRDefault="00B878DF" w:rsidP="00B878DF">
      <w:pPr>
        <w:numPr>
          <w:ilvl w:val="0"/>
          <w:numId w:val="23"/>
        </w:numPr>
        <w:spacing w:before="120" w:after="120" w:line="360" w:lineRule="auto"/>
        <w:jc w:val="both"/>
        <w:rPr>
          <w:rFonts w:ascii="Arial" w:hAnsi="Arial" w:cs="Arial"/>
          <w:lang w:val="en-ZA"/>
        </w:rPr>
      </w:pPr>
      <w:r>
        <w:rPr>
          <w:rFonts w:ascii="Arial" w:hAnsi="Arial" w:cs="Arial"/>
          <w:lang w:val="en-ZA"/>
        </w:rPr>
        <w:t>W</w:t>
      </w:r>
      <w:r w:rsidRPr="00B878DF">
        <w:rPr>
          <w:rFonts w:ascii="Arial" w:hAnsi="Arial" w:cs="Arial"/>
          <w:lang w:val="en-ZA"/>
        </w:rPr>
        <w:t xml:space="preserve">hether his department will consider (a) a less restrictive witness protection system to offer protection and/or security for more whistleblowers and (b) the formation of a centralised and dedicated whistleblower institution; if not, why not in each case; if so, what are the relevant details in each case? </w:t>
      </w:r>
    </w:p>
    <w:p w:rsidR="004B69E2" w:rsidRPr="00B878DF" w:rsidRDefault="00B878DF" w:rsidP="00B878DF">
      <w:pPr>
        <w:spacing w:before="120" w:after="120" w:line="360" w:lineRule="auto"/>
        <w:jc w:val="right"/>
        <w:rPr>
          <w:rFonts w:ascii="Arial" w:hAnsi="Arial" w:cs="Arial"/>
          <w:b/>
          <w:lang w:val="en-ZA"/>
        </w:rPr>
      </w:pPr>
      <w:r w:rsidRPr="00B878DF">
        <w:rPr>
          <w:rFonts w:ascii="Arial" w:hAnsi="Arial" w:cs="Arial"/>
          <w:b/>
          <w:lang w:val="en-ZA"/>
        </w:rPr>
        <w:t>NW3439E</w:t>
      </w:r>
    </w:p>
    <w:p w:rsidR="00B878DF" w:rsidRDefault="00B878DF" w:rsidP="00B878DF">
      <w:pPr>
        <w:spacing w:before="120" w:after="120" w:line="360" w:lineRule="auto"/>
        <w:ind w:left="370"/>
        <w:jc w:val="both"/>
        <w:rPr>
          <w:rFonts w:ascii="Arial" w:hAnsi="Arial" w:cs="Arial"/>
          <w:lang w:val="en-ZA"/>
        </w:rPr>
      </w:pPr>
    </w:p>
    <w:p w:rsidR="00B878DF" w:rsidRPr="004B69E2" w:rsidRDefault="00B878DF" w:rsidP="00B878DF">
      <w:pPr>
        <w:spacing w:before="120" w:after="120" w:line="360" w:lineRule="auto"/>
        <w:jc w:val="right"/>
      </w:pPr>
    </w:p>
    <w:p w:rsidR="00CE3927" w:rsidRDefault="009133DA" w:rsidP="000410F6">
      <w:pPr>
        <w:spacing w:line="360" w:lineRule="auto"/>
        <w:jc w:val="both"/>
        <w:rPr>
          <w:rFonts w:ascii="Arial" w:hAnsi="Arial" w:cs="Arial"/>
          <w:b/>
        </w:rPr>
      </w:pPr>
      <w:r w:rsidRPr="00880AAF">
        <w:rPr>
          <w:rFonts w:ascii="Arial" w:hAnsi="Arial" w:cs="Arial"/>
          <w:lang w:val="en-ZA"/>
        </w:rPr>
        <w:br w:type="page"/>
      </w:r>
      <w:r w:rsidR="0007655F" w:rsidRPr="00880AAF">
        <w:rPr>
          <w:rFonts w:ascii="Arial" w:hAnsi="Arial" w:cs="Arial"/>
          <w:b/>
        </w:rPr>
        <w:lastRenderedPageBreak/>
        <w:t>REPLY:</w:t>
      </w:r>
    </w:p>
    <w:p w:rsidR="000410F6" w:rsidRDefault="000410F6" w:rsidP="000410F6">
      <w:pPr>
        <w:spacing w:line="360" w:lineRule="auto"/>
        <w:jc w:val="both"/>
        <w:rPr>
          <w:rFonts w:ascii="Arial" w:hAnsi="Arial" w:cs="Arial"/>
          <w:b/>
        </w:rPr>
      </w:pPr>
    </w:p>
    <w:p w:rsidR="000410F6" w:rsidRDefault="00CE3927" w:rsidP="000410F6">
      <w:pPr>
        <w:numPr>
          <w:ilvl w:val="0"/>
          <w:numId w:val="26"/>
        </w:numPr>
        <w:spacing w:line="360" w:lineRule="auto"/>
        <w:jc w:val="both"/>
        <w:rPr>
          <w:rFonts w:ascii="Arial" w:hAnsi="Arial" w:cs="Arial"/>
          <w:lang w:val="en-ZA"/>
        </w:rPr>
      </w:pPr>
      <w:r w:rsidRPr="000410F6">
        <w:rPr>
          <w:rFonts w:ascii="Arial" w:hAnsi="Arial" w:cs="Arial"/>
          <w:lang w:val="en-ZA"/>
        </w:rPr>
        <w:t>The Protected Disclosures Act, 2000</w:t>
      </w:r>
      <w:r w:rsidR="002840BD">
        <w:rPr>
          <w:rFonts w:ascii="Arial" w:hAnsi="Arial" w:cs="Arial"/>
          <w:lang w:val="en-ZA"/>
        </w:rPr>
        <w:t xml:space="preserve"> (Act No. 26 of 2000)</w:t>
      </w:r>
      <w:r w:rsidRPr="000410F6">
        <w:rPr>
          <w:rFonts w:ascii="Arial" w:hAnsi="Arial" w:cs="Arial"/>
          <w:lang w:val="en-ZA"/>
        </w:rPr>
        <w:t xml:space="preserve">, as amended </w:t>
      </w:r>
      <w:r w:rsidR="002840BD">
        <w:rPr>
          <w:rFonts w:ascii="Arial" w:hAnsi="Arial" w:cs="Arial"/>
          <w:lang w:val="en-ZA"/>
        </w:rPr>
        <w:t>with effect from 2 August 2017</w:t>
      </w:r>
      <w:r w:rsidR="00080611" w:rsidRPr="000410F6">
        <w:rPr>
          <w:rFonts w:ascii="Arial" w:hAnsi="Arial" w:cs="Arial"/>
          <w:lang w:val="en-ZA"/>
        </w:rPr>
        <w:t xml:space="preserve">, does not provide </w:t>
      </w:r>
      <w:r w:rsidR="00C143F5" w:rsidRPr="000410F6">
        <w:rPr>
          <w:rFonts w:ascii="Arial" w:hAnsi="Arial" w:cs="Arial"/>
          <w:lang w:val="en-ZA"/>
        </w:rPr>
        <w:t xml:space="preserve">for offence-specific disclosures. </w:t>
      </w:r>
      <w:r w:rsidR="002840BD">
        <w:rPr>
          <w:rFonts w:ascii="Arial" w:hAnsi="Arial" w:cs="Arial"/>
          <w:lang w:val="en-ZA"/>
        </w:rPr>
        <w:t xml:space="preserve">The term “disclosure” is defined as any disclosure of information regarding any conduct of an employer or of an employee or of a worker of that employer, made by any employee or worker who has reason to believe that the information concerned shows or tends to show one or more of, amongst others, the following: </w:t>
      </w:r>
    </w:p>
    <w:p w:rsidR="002840BD" w:rsidRDefault="002840BD" w:rsidP="002840BD">
      <w:pPr>
        <w:numPr>
          <w:ilvl w:val="0"/>
          <w:numId w:val="27"/>
        </w:numPr>
        <w:spacing w:line="360" w:lineRule="auto"/>
        <w:jc w:val="both"/>
        <w:rPr>
          <w:rFonts w:ascii="Arial" w:hAnsi="Arial" w:cs="Arial"/>
          <w:lang w:val="en-ZA"/>
        </w:rPr>
      </w:pPr>
      <w:r>
        <w:rPr>
          <w:rFonts w:ascii="Arial" w:hAnsi="Arial" w:cs="Arial"/>
          <w:lang w:val="en-ZA"/>
        </w:rPr>
        <w:t>That a criminal offence has been committed, is being committed or is likely to be committed;</w:t>
      </w:r>
    </w:p>
    <w:p w:rsidR="002840BD" w:rsidRDefault="002840BD" w:rsidP="002840BD">
      <w:pPr>
        <w:numPr>
          <w:ilvl w:val="0"/>
          <w:numId w:val="27"/>
        </w:numPr>
        <w:spacing w:line="360" w:lineRule="auto"/>
        <w:jc w:val="both"/>
        <w:rPr>
          <w:rFonts w:ascii="Arial" w:hAnsi="Arial" w:cs="Arial"/>
          <w:lang w:val="en-ZA"/>
        </w:rPr>
      </w:pPr>
      <w:r>
        <w:rPr>
          <w:rFonts w:ascii="Arial" w:hAnsi="Arial" w:cs="Arial"/>
          <w:lang w:val="en-ZA"/>
        </w:rPr>
        <w:t>That a person has failed, is failing or is likely to fail to comply with any legal obligation to which that person is subject; and</w:t>
      </w:r>
    </w:p>
    <w:p w:rsidR="002840BD" w:rsidRDefault="002840BD" w:rsidP="002840BD">
      <w:pPr>
        <w:numPr>
          <w:ilvl w:val="0"/>
          <w:numId w:val="27"/>
        </w:numPr>
        <w:spacing w:line="360" w:lineRule="auto"/>
        <w:jc w:val="both"/>
        <w:rPr>
          <w:rFonts w:ascii="Arial" w:hAnsi="Arial" w:cs="Arial"/>
          <w:lang w:val="en-ZA"/>
        </w:rPr>
      </w:pPr>
      <w:r>
        <w:rPr>
          <w:rFonts w:ascii="Arial" w:hAnsi="Arial" w:cs="Arial"/>
          <w:lang w:val="en-ZA"/>
        </w:rPr>
        <w:t>That a miscarriage of justice has occurred</w:t>
      </w:r>
      <w:r w:rsidR="00340637">
        <w:rPr>
          <w:rFonts w:ascii="Arial" w:hAnsi="Arial" w:cs="Arial"/>
          <w:lang w:val="en-ZA"/>
        </w:rPr>
        <w:t>,</w:t>
      </w:r>
      <w:r>
        <w:rPr>
          <w:rFonts w:ascii="Arial" w:hAnsi="Arial" w:cs="Arial"/>
          <w:lang w:val="en-ZA"/>
        </w:rPr>
        <w:t xml:space="preserve"> is occurring or is likely to </w:t>
      </w:r>
      <w:r w:rsidR="00340637">
        <w:rPr>
          <w:rFonts w:ascii="Arial" w:hAnsi="Arial" w:cs="Arial"/>
          <w:lang w:val="en-ZA"/>
        </w:rPr>
        <w:t>occur.</w:t>
      </w:r>
    </w:p>
    <w:p w:rsidR="000410F6" w:rsidRDefault="000410F6" w:rsidP="000410F6">
      <w:pPr>
        <w:spacing w:line="360" w:lineRule="auto"/>
        <w:ind w:left="370"/>
        <w:jc w:val="both"/>
        <w:rPr>
          <w:rFonts w:ascii="Arial" w:hAnsi="Arial" w:cs="Arial"/>
          <w:lang w:val="en-ZA"/>
        </w:rPr>
      </w:pPr>
    </w:p>
    <w:p w:rsidR="00A237CD" w:rsidRDefault="00A237CD" w:rsidP="000410F6">
      <w:pPr>
        <w:spacing w:line="360" w:lineRule="auto"/>
        <w:ind w:left="370"/>
        <w:jc w:val="both"/>
        <w:rPr>
          <w:rFonts w:ascii="Arial" w:hAnsi="Arial" w:cs="Arial"/>
          <w:bCs/>
        </w:rPr>
      </w:pPr>
      <w:r>
        <w:rPr>
          <w:rFonts w:ascii="Arial" w:hAnsi="Arial" w:cs="Arial"/>
          <w:bCs/>
        </w:rPr>
        <w:t xml:space="preserve">The Act governs disclosures in all employer/employee relationships. The Act was amended in 2017 to extend the </w:t>
      </w:r>
      <w:r w:rsidRPr="00C143F5">
        <w:rPr>
          <w:rFonts w:ascii="Arial" w:hAnsi="Arial" w:cs="Arial"/>
          <w:bCs/>
        </w:rPr>
        <w:t xml:space="preserve">ambit of the Act </w:t>
      </w:r>
      <w:r>
        <w:rPr>
          <w:rFonts w:ascii="Arial" w:hAnsi="Arial" w:cs="Arial"/>
          <w:bCs/>
        </w:rPr>
        <w:t xml:space="preserve">beyond the ordinary employee/employer relationship by </w:t>
      </w:r>
      <w:r w:rsidRPr="00C143F5">
        <w:rPr>
          <w:rFonts w:ascii="Arial" w:hAnsi="Arial" w:cs="Arial"/>
          <w:bCs/>
        </w:rPr>
        <w:t>the introduction of two</w:t>
      </w:r>
      <w:r>
        <w:rPr>
          <w:rFonts w:ascii="Arial" w:hAnsi="Arial" w:cs="Arial"/>
          <w:bCs/>
        </w:rPr>
        <w:t xml:space="preserve"> (2) new definitions, namely:</w:t>
      </w:r>
      <w:r w:rsidRPr="00C143F5">
        <w:rPr>
          <w:rFonts w:ascii="Arial" w:hAnsi="Arial" w:cs="Arial"/>
          <w:bCs/>
        </w:rPr>
        <w:t xml:space="preserve"> that of “worker” and “temporary employment service”.</w:t>
      </w:r>
      <w:r>
        <w:rPr>
          <w:rFonts w:ascii="Arial" w:hAnsi="Arial" w:cs="Arial"/>
          <w:bCs/>
        </w:rPr>
        <w:t xml:space="preserve"> </w:t>
      </w:r>
    </w:p>
    <w:p w:rsidR="00A237CD" w:rsidRDefault="00A237CD" w:rsidP="000410F6">
      <w:pPr>
        <w:spacing w:line="360" w:lineRule="auto"/>
        <w:ind w:left="370"/>
        <w:jc w:val="both"/>
        <w:rPr>
          <w:rFonts w:ascii="Arial" w:hAnsi="Arial" w:cs="Arial"/>
          <w:bCs/>
        </w:rPr>
      </w:pPr>
    </w:p>
    <w:p w:rsidR="000410F6" w:rsidRDefault="00A367A9" w:rsidP="000410F6">
      <w:pPr>
        <w:spacing w:line="360" w:lineRule="auto"/>
        <w:ind w:left="370"/>
        <w:jc w:val="both"/>
        <w:rPr>
          <w:rFonts w:ascii="Arial" w:hAnsi="Arial" w:cs="Arial"/>
          <w:bCs/>
        </w:rPr>
      </w:pPr>
      <w:r w:rsidRPr="000410F6">
        <w:rPr>
          <w:rFonts w:ascii="Arial" w:hAnsi="Arial" w:cs="Arial"/>
          <w:bCs/>
        </w:rPr>
        <w:t>The amendment of the definition of “employee” was intended to clarify that persons who have worked for another person (for example</w:t>
      </w:r>
      <w:r w:rsidR="000410F6">
        <w:rPr>
          <w:rFonts w:ascii="Arial" w:hAnsi="Arial" w:cs="Arial"/>
          <w:bCs/>
        </w:rPr>
        <w:t>:</w:t>
      </w:r>
      <w:r w:rsidRPr="000410F6">
        <w:rPr>
          <w:rFonts w:ascii="Arial" w:hAnsi="Arial" w:cs="Arial"/>
          <w:bCs/>
        </w:rPr>
        <w:t xml:space="preserve"> former employees) or assisted in carrying on the business of an employer are also included within </w:t>
      </w:r>
      <w:r w:rsidR="000410F6">
        <w:rPr>
          <w:rFonts w:ascii="Arial" w:hAnsi="Arial" w:cs="Arial"/>
          <w:bCs/>
        </w:rPr>
        <w:t>the meaning of the definition.</w:t>
      </w:r>
    </w:p>
    <w:p w:rsidR="000410F6" w:rsidRDefault="000410F6" w:rsidP="000410F6">
      <w:pPr>
        <w:spacing w:line="360" w:lineRule="auto"/>
        <w:ind w:left="370"/>
        <w:jc w:val="both"/>
        <w:rPr>
          <w:rFonts w:ascii="Arial" w:hAnsi="Arial" w:cs="Arial"/>
          <w:bCs/>
        </w:rPr>
      </w:pPr>
    </w:p>
    <w:p w:rsidR="000410F6" w:rsidRDefault="00A367A9" w:rsidP="000410F6">
      <w:pPr>
        <w:spacing w:line="360" w:lineRule="auto"/>
        <w:ind w:left="370"/>
        <w:jc w:val="both"/>
        <w:rPr>
          <w:rFonts w:ascii="Arial" w:hAnsi="Arial" w:cs="Arial"/>
          <w:lang w:val="en-ZA"/>
        </w:rPr>
      </w:pPr>
      <w:r w:rsidRPr="00A367A9">
        <w:rPr>
          <w:rFonts w:ascii="Arial" w:hAnsi="Arial" w:cs="Arial"/>
          <w:bCs/>
        </w:rPr>
        <w:t xml:space="preserve">The ambit of the Act </w:t>
      </w:r>
      <w:r>
        <w:rPr>
          <w:rFonts w:ascii="Arial" w:hAnsi="Arial" w:cs="Arial"/>
          <w:bCs/>
        </w:rPr>
        <w:t>was al</w:t>
      </w:r>
      <w:r w:rsidRPr="00A367A9">
        <w:rPr>
          <w:rFonts w:ascii="Arial" w:hAnsi="Arial" w:cs="Arial"/>
          <w:bCs/>
        </w:rPr>
        <w:t xml:space="preserve">so extended to include persons who are employed by </w:t>
      </w:r>
      <w:r w:rsidR="000410F6">
        <w:rPr>
          <w:rFonts w:ascii="Arial" w:hAnsi="Arial" w:cs="Arial"/>
          <w:bCs/>
        </w:rPr>
        <w:t xml:space="preserve">temporary employment services. </w:t>
      </w:r>
      <w:r w:rsidRPr="00A367A9">
        <w:rPr>
          <w:rFonts w:ascii="Arial" w:hAnsi="Arial" w:cs="Arial"/>
          <w:bCs/>
        </w:rPr>
        <w:t>The introduction of the definition of “worker” was based on two</w:t>
      </w:r>
      <w:r w:rsidR="009F0F35">
        <w:rPr>
          <w:rFonts w:ascii="Arial" w:hAnsi="Arial" w:cs="Arial"/>
          <w:bCs/>
        </w:rPr>
        <w:t xml:space="preserve"> (2)</w:t>
      </w:r>
      <w:r w:rsidRPr="00A367A9">
        <w:rPr>
          <w:rFonts w:ascii="Arial" w:hAnsi="Arial" w:cs="Arial"/>
          <w:bCs/>
        </w:rPr>
        <w:t xml:space="preserve"> rea</w:t>
      </w:r>
      <w:r w:rsidR="000410F6">
        <w:rPr>
          <w:rFonts w:ascii="Arial" w:hAnsi="Arial" w:cs="Arial"/>
          <w:bCs/>
        </w:rPr>
        <w:t xml:space="preserve">sons. </w:t>
      </w:r>
      <w:r w:rsidRPr="00A367A9">
        <w:rPr>
          <w:rFonts w:ascii="Arial" w:hAnsi="Arial" w:cs="Arial"/>
          <w:bCs/>
        </w:rPr>
        <w:t>Firstly, independent contractors are not considered as employees in terms of labour legislation and are expressly excluded from the reach of the remedies contai</w:t>
      </w:r>
      <w:r w:rsidR="000410F6">
        <w:rPr>
          <w:rFonts w:ascii="Arial" w:hAnsi="Arial" w:cs="Arial"/>
          <w:bCs/>
        </w:rPr>
        <w:t xml:space="preserve">ned in the labour legislation. </w:t>
      </w:r>
      <w:r w:rsidRPr="00A367A9">
        <w:rPr>
          <w:rFonts w:ascii="Arial" w:hAnsi="Arial" w:cs="Arial"/>
          <w:bCs/>
        </w:rPr>
        <w:t>Secondly, by defining the term “worker” separately the protection offered by the Act has now been extended to independent contractors, agents and consultants.</w:t>
      </w:r>
    </w:p>
    <w:p w:rsidR="009F0F35" w:rsidRDefault="00A367A9" w:rsidP="000410F6">
      <w:pPr>
        <w:spacing w:line="360" w:lineRule="auto"/>
        <w:ind w:left="370"/>
        <w:jc w:val="both"/>
        <w:rPr>
          <w:rFonts w:ascii="Arial" w:hAnsi="Arial" w:cs="Arial"/>
          <w:bCs/>
        </w:rPr>
      </w:pPr>
      <w:r w:rsidRPr="00A367A9">
        <w:rPr>
          <w:rFonts w:ascii="Arial" w:hAnsi="Arial" w:cs="Arial"/>
          <w:bCs/>
        </w:rPr>
        <w:t xml:space="preserve">The </w:t>
      </w:r>
      <w:r w:rsidR="009F0F35">
        <w:rPr>
          <w:rFonts w:ascii="Arial" w:hAnsi="Arial" w:cs="Arial"/>
          <w:bCs/>
        </w:rPr>
        <w:t xml:space="preserve">Protected Disclosures </w:t>
      </w:r>
      <w:r w:rsidRPr="00A367A9">
        <w:rPr>
          <w:rFonts w:ascii="Arial" w:hAnsi="Arial" w:cs="Arial"/>
          <w:bCs/>
        </w:rPr>
        <w:t>Amendment Act</w:t>
      </w:r>
      <w:r w:rsidR="009F0F35">
        <w:rPr>
          <w:rFonts w:ascii="Arial" w:hAnsi="Arial" w:cs="Arial"/>
          <w:bCs/>
        </w:rPr>
        <w:t>, 2017 (Act No. 5 of 2017),</w:t>
      </w:r>
      <w:r w:rsidRPr="00A367A9">
        <w:rPr>
          <w:rFonts w:ascii="Arial" w:hAnsi="Arial" w:cs="Arial"/>
          <w:bCs/>
        </w:rPr>
        <w:t xml:space="preserve"> also amended the definition of “occupational detriment” to introduce two</w:t>
      </w:r>
      <w:r w:rsidR="009F0F35">
        <w:rPr>
          <w:rFonts w:ascii="Arial" w:hAnsi="Arial" w:cs="Arial"/>
          <w:bCs/>
        </w:rPr>
        <w:t xml:space="preserve"> (2)</w:t>
      </w:r>
      <w:r w:rsidRPr="00A367A9">
        <w:rPr>
          <w:rFonts w:ascii="Arial" w:hAnsi="Arial" w:cs="Arial"/>
          <w:bCs/>
        </w:rPr>
        <w:t xml:space="preserve"> additional forms of occupational detriment that an employee may be subjected to as a result of having made</w:t>
      </w:r>
      <w:r w:rsidR="000410F6">
        <w:rPr>
          <w:rFonts w:ascii="Arial" w:hAnsi="Arial" w:cs="Arial"/>
          <w:bCs/>
        </w:rPr>
        <w:t xml:space="preserve"> a protected disclosure, namely:</w:t>
      </w:r>
      <w:r w:rsidRPr="00A367A9">
        <w:rPr>
          <w:rFonts w:ascii="Arial" w:hAnsi="Arial" w:cs="Arial"/>
          <w:bCs/>
        </w:rPr>
        <w:t xml:space="preserve"> </w:t>
      </w:r>
    </w:p>
    <w:p w:rsidR="009F0F35" w:rsidRDefault="00A367A9" w:rsidP="009F0F35">
      <w:pPr>
        <w:numPr>
          <w:ilvl w:val="0"/>
          <w:numId w:val="28"/>
        </w:numPr>
        <w:spacing w:line="360" w:lineRule="auto"/>
        <w:ind w:left="709" w:hanging="339"/>
        <w:jc w:val="both"/>
        <w:rPr>
          <w:rFonts w:ascii="Arial" w:hAnsi="Arial" w:cs="Arial"/>
          <w:bCs/>
        </w:rPr>
      </w:pPr>
      <w:r w:rsidRPr="00A367A9">
        <w:rPr>
          <w:rFonts w:ascii="Arial" w:hAnsi="Arial" w:cs="Arial"/>
          <w:bCs/>
        </w:rPr>
        <w:t>reprisals such as defamation suits and suits based on the alleged breach of a co</w:t>
      </w:r>
      <w:r w:rsidR="009F0F35">
        <w:rPr>
          <w:rFonts w:ascii="Arial" w:hAnsi="Arial" w:cs="Arial"/>
          <w:bCs/>
        </w:rPr>
        <w:t>nfidentiality agreement or duty;</w:t>
      </w:r>
      <w:r w:rsidRPr="00A367A9">
        <w:rPr>
          <w:rFonts w:ascii="Arial" w:hAnsi="Arial" w:cs="Arial"/>
          <w:bCs/>
        </w:rPr>
        <w:t xml:space="preserve"> and </w:t>
      </w:r>
    </w:p>
    <w:p w:rsidR="000410F6" w:rsidRDefault="00A367A9" w:rsidP="009F0F35">
      <w:pPr>
        <w:numPr>
          <w:ilvl w:val="0"/>
          <w:numId w:val="28"/>
        </w:numPr>
        <w:spacing w:line="360" w:lineRule="auto"/>
        <w:ind w:left="709" w:hanging="339"/>
        <w:jc w:val="both"/>
        <w:rPr>
          <w:rFonts w:ascii="Arial" w:hAnsi="Arial" w:cs="Arial"/>
          <w:bCs/>
        </w:rPr>
      </w:pPr>
      <w:r w:rsidRPr="00A367A9">
        <w:rPr>
          <w:rFonts w:ascii="Arial" w:hAnsi="Arial" w:cs="Arial"/>
          <w:bCs/>
        </w:rPr>
        <w:t>to include a specific form of detriment typically experienced by contract workers, namely</w:t>
      </w:r>
      <w:r w:rsidR="009F0F35">
        <w:rPr>
          <w:rFonts w:ascii="Arial" w:hAnsi="Arial" w:cs="Arial"/>
          <w:bCs/>
        </w:rPr>
        <w:t>:</w:t>
      </w:r>
      <w:r w:rsidRPr="00A367A9">
        <w:rPr>
          <w:rFonts w:ascii="Arial" w:hAnsi="Arial" w:cs="Arial"/>
          <w:bCs/>
        </w:rPr>
        <w:t xml:space="preserve"> the loss of a contract or the fai</w:t>
      </w:r>
      <w:r w:rsidR="000410F6">
        <w:rPr>
          <w:rFonts w:ascii="Arial" w:hAnsi="Arial" w:cs="Arial"/>
          <w:bCs/>
        </w:rPr>
        <w:t>lure to be awarded a contract.</w:t>
      </w:r>
    </w:p>
    <w:p w:rsidR="000410F6" w:rsidRDefault="000410F6" w:rsidP="000410F6">
      <w:pPr>
        <w:spacing w:line="360" w:lineRule="auto"/>
        <w:ind w:left="370"/>
        <w:jc w:val="both"/>
        <w:rPr>
          <w:rFonts w:ascii="Arial" w:hAnsi="Arial" w:cs="Arial"/>
          <w:bCs/>
        </w:rPr>
      </w:pPr>
    </w:p>
    <w:p w:rsidR="00983C6B" w:rsidRPr="000410F6" w:rsidRDefault="00A367A9" w:rsidP="000410F6">
      <w:pPr>
        <w:spacing w:line="360" w:lineRule="auto"/>
        <w:ind w:left="370"/>
        <w:jc w:val="both"/>
        <w:rPr>
          <w:rFonts w:ascii="Arial" w:hAnsi="Arial" w:cs="Arial"/>
          <w:lang w:val="en-ZA"/>
        </w:rPr>
      </w:pPr>
      <w:r w:rsidRPr="00A367A9">
        <w:rPr>
          <w:rFonts w:ascii="Arial" w:hAnsi="Arial" w:cs="Arial"/>
          <w:bCs/>
        </w:rPr>
        <w:t>These amendments</w:t>
      </w:r>
      <w:r>
        <w:rPr>
          <w:rFonts w:ascii="Arial" w:hAnsi="Arial" w:cs="Arial"/>
          <w:bCs/>
        </w:rPr>
        <w:t>,</w:t>
      </w:r>
      <w:r w:rsidRPr="00A367A9">
        <w:rPr>
          <w:rFonts w:ascii="Arial" w:hAnsi="Arial" w:cs="Arial"/>
          <w:bCs/>
        </w:rPr>
        <w:t xml:space="preserve"> among others, </w:t>
      </w:r>
      <w:r>
        <w:rPr>
          <w:rFonts w:ascii="Arial" w:hAnsi="Arial" w:cs="Arial"/>
          <w:bCs/>
        </w:rPr>
        <w:t xml:space="preserve">sought to provide protection to whistleblowers in any type of disclosure, not only procurement related, and intends to include the broadest possible protection when disclosures </w:t>
      </w:r>
      <w:r w:rsidR="00B65046">
        <w:rPr>
          <w:rFonts w:ascii="Arial" w:hAnsi="Arial" w:cs="Arial"/>
          <w:bCs/>
        </w:rPr>
        <w:t>are made by not limiting it to specific actions. There is therefore no need to amend the Act to include procurement related matters as these matters may be disclosed in the context provided in the Act.</w:t>
      </w:r>
    </w:p>
    <w:p w:rsidR="00B65046" w:rsidRDefault="00B65046" w:rsidP="000410F6">
      <w:pPr>
        <w:spacing w:line="360" w:lineRule="auto"/>
        <w:jc w:val="both"/>
        <w:rPr>
          <w:rFonts w:ascii="Arial" w:hAnsi="Arial" w:cs="Arial"/>
          <w:bCs/>
        </w:rPr>
      </w:pPr>
    </w:p>
    <w:p w:rsidR="00B65046" w:rsidRDefault="00B65046" w:rsidP="000410F6">
      <w:pPr>
        <w:numPr>
          <w:ilvl w:val="0"/>
          <w:numId w:val="26"/>
        </w:numPr>
        <w:spacing w:line="360" w:lineRule="auto"/>
        <w:jc w:val="both"/>
        <w:rPr>
          <w:rFonts w:ascii="Arial" w:hAnsi="Arial" w:cs="Arial"/>
          <w:lang w:val="en-ZA"/>
        </w:rPr>
      </w:pPr>
      <w:r w:rsidRPr="000410F6">
        <w:rPr>
          <w:rFonts w:ascii="Arial" w:hAnsi="Arial" w:cs="Arial"/>
          <w:lang w:val="en-ZA"/>
        </w:rPr>
        <w:t xml:space="preserve">Research and a benchmarking exercise is being conducted by the Department into the current legal framework relating to </w:t>
      </w:r>
      <w:r w:rsidR="002D09CC" w:rsidRPr="000410F6">
        <w:rPr>
          <w:rFonts w:ascii="Arial" w:hAnsi="Arial" w:cs="Arial"/>
          <w:lang w:val="en-ZA"/>
        </w:rPr>
        <w:t>w</w:t>
      </w:r>
      <w:r w:rsidRPr="000410F6">
        <w:rPr>
          <w:rFonts w:ascii="Arial" w:hAnsi="Arial" w:cs="Arial"/>
          <w:lang w:val="en-ZA"/>
        </w:rPr>
        <w:t xml:space="preserve">itness </w:t>
      </w:r>
      <w:r w:rsidR="002D09CC" w:rsidRPr="000410F6">
        <w:rPr>
          <w:rFonts w:ascii="Arial" w:hAnsi="Arial" w:cs="Arial"/>
          <w:lang w:val="en-ZA"/>
        </w:rPr>
        <w:t>p</w:t>
      </w:r>
      <w:r w:rsidRPr="000410F6">
        <w:rPr>
          <w:rFonts w:ascii="Arial" w:hAnsi="Arial" w:cs="Arial"/>
          <w:lang w:val="en-ZA"/>
        </w:rPr>
        <w:t xml:space="preserve">rotection. </w:t>
      </w:r>
      <w:r w:rsidR="002D09CC" w:rsidRPr="000410F6">
        <w:rPr>
          <w:rFonts w:ascii="Arial" w:hAnsi="Arial" w:cs="Arial"/>
          <w:lang w:val="en-ZA"/>
        </w:rPr>
        <w:t>Proposals to include all whistleblowers within the ambit of the Witness Protection Act,</w:t>
      </w:r>
      <w:r w:rsidR="009F0F35">
        <w:rPr>
          <w:rFonts w:ascii="Arial" w:hAnsi="Arial" w:cs="Arial"/>
          <w:lang w:val="en-ZA"/>
        </w:rPr>
        <w:t xml:space="preserve"> 1998 (Act No. 112 of 2018),</w:t>
      </w:r>
      <w:r w:rsidR="002D09CC" w:rsidRPr="000410F6">
        <w:rPr>
          <w:rFonts w:ascii="Arial" w:hAnsi="Arial" w:cs="Arial"/>
          <w:lang w:val="en-ZA"/>
        </w:rPr>
        <w:t xml:space="preserve"> and not just witnesses, are being considered. There is currently an entity established in terms of this Act know</w:t>
      </w:r>
      <w:r w:rsidR="00856C4D" w:rsidRPr="000410F6">
        <w:rPr>
          <w:rFonts w:ascii="Arial" w:hAnsi="Arial" w:cs="Arial"/>
          <w:lang w:val="en-ZA"/>
        </w:rPr>
        <w:t>n</w:t>
      </w:r>
      <w:r w:rsidR="002D09CC" w:rsidRPr="000410F6">
        <w:rPr>
          <w:rFonts w:ascii="Arial" w:hAnsi="Arial" w:cs="Arial"/>
          <w:lang w:val="en-ZA"/>
        </w:rPr>
        <w:t xml:space="preserve"> as the Office for Witness Protection. We are considering the cost implications and an appropriate funding model</w:t>
      </w:r>
      <w:r w:rsidR="00856C4D" w:rsidRPr="000410F6">
        <w:rPr>
          <w:rFonts w:ascii="Arial" w:hAnsi="Arial" w:cs="Arial"/>
          <w:lang w:val="en-ZA"/>
        </w:rPr>
        <w:t xml:space="preserve"> for the expansion of the current framework. </w:t>
      </w:r>
    </w:p>
    <w:p w:rsidR="001F2F8D" w:rsidRPr="001F2F8D" w:rsidRDefault="001F2F8D" w:rsidP="001F2F8D">
      <w:pPr>
        <w:spacing w:line="360" w:lineRule="auto"/>
        <w:jc w:val="both"/>
        <w:rPr>
          <w:rFonts w:ascii="Arial" w:hAnsi="Arial" w:cs="Arial"/>
          <w:b/>
          <w:lang w:val="en-ZA"/>
        </w:rPr>
      </w:pPr>
      <w:r w:rsidRPr="001F2F8D">
        <w:rPr>
          <w:rFonts w:ascii="Arial" w:hAnsi="Arial" w:cs="Arial"/>
          <w:b/>
          <w:lang w:val="en-ZA"/>
        </w:rPr>
        <w:t xml:space="preserve">END </w:t>
      </w:r>
    </w:p>
    <w:sectPr w:rsidR="001F2F8D" w:rsidRPr="001F2F8D"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87" w:rsidRDefault="00414387" w:rsidP="00913892">
      <w:r>
        <w:separator/>
      </w:r>
    </w:p>
  </w:endnote>
  <w:endnote w:type="continuationSeparator" w:id="0">
    <w:p w:rsidR="00414387" w:rsidRDefault="0041438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14387" w:rsidRPr="0041438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87" w:rsidRDefault="00414387" w:rsidP="00913892">
      <w:r>
        <w:separator/>
      </w:r>
    </w:p>
  </w:footnote>
  <w:footnote w:type="continuationSeparator" w:id="0">
    <w:p w:rsidR="00414387" w:rsidRDefault="0041438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C47070"/>
    <w:multiLevelType w:val="hybridMultilevel"/>
    <w:tmpl w:val="7BC0FCB8"/>
    <w:lvl w:ilvl="0" w:tplc="D1344C16">
      <w:start w:val="1"/>
      <w:numFmt w:val="lowerRoman"/>
      <w:lvlText w:val="(%1)"/>
      <w:lvlJc w:val="left"/>
      <w:pPr>
        <w:ind w:left="1090" w:hanging="720"/>
      </w:pPr>
      <w:rPr>
        <w:rFonts w:hint="default"/>
      </w:rPr>
    </w:lvl>
    <w:lvl w:ilvl="1" w:tplc="1C090019" w:tentative="1">
      <w:start w:val="1"/>
      <w:numFmt w:val="lowerLetter"/>
      <w:lvlText w:val="%2."/>
      <w:lvlJc w:val="left"/>
      <w:pPr>
        <w:ind w:left="1450" w:hanging="360"/>
      </w:pPr>
    </w:lvl>
    <w:lvl w:ilvl="2" w:tplc="1C09001B" w:tentative="1">
      <w:start w:val="1"/>
      <w:numFmt w:val="lowerRoman"/>
      <w:lvlText w:val="%3."/>
      <w:lvlJc w:val="right"/>
      <w:pPr>
        <w:ind w:left="2170" w:hanging="180"/>
      </w:pPr>
    </w:lvl>
    <w:lvl w:ilvl="3" w:tplc="1C09000F" w:tentative="1">
      <w:start w:val="1"/>
      <w:numFmt w:val="decimal"/>
      <w:lvlText w:val="%4."/>
      <w:lvlJc w:val="left"/>
      <w:pPr>
        <w:ind w:left="2890" w:hanging="360"/>
      </w:pPr>
    </w:lvl>
    <w:lvl w:ilvl="4" w:tplc="1C090019" w:tentative="1">
      <w:start w:val="1"/>
      <w:numFmt w:val="lowerLetter"/>
      <w:lvlText w:val="%5."/>
      <w:lvlJc w:val="left"/>
      <w:pPr>
        <w:ind w:left="3610" w:hanging="360"/>
      </w:pPr>
    </w:lvl>
    <w:lvl w:ilvl="5" w:tplc="1C09001B" w:tentative="1">
      <w:start w:val="1"/>
      <w:numFmt w:val="lowerRoman"/>
      <w:lvlText w:val="%6."/>
      <w:lvlJc w:val="right"/>
      <w:pPr>
        <w:ind w:left="4330" w:hanging="180"/>
      </w:pPr>
    </w:lvl>
    <w:lvl w:ilvl="6" w:tplc="1C09000F" w:tentative="1">
      <w:start w:val="1"/>
      <w:numFmt w:val="decimal"/>
      <w:lvlText w:val="%7."/>
      <w:lvlJc w:val="left"/>
      <w:pPr>
        <w:ind w:left="5050" w:hanging="360"/>
      </w:pPr>
    </w:lvl>
    <w:lvl w:ilvl="7" w:tplc="1C090019" w:tentative="1">
      <w:start w:val="1"/>
      <w:numFmt w:val="lowerLetter"/>
      <w:lvlText w:val="%8."/>
      <w:lvlJc w:val="left"/>
      <w:pPr>
        <w:ind w:left="5770" w:hanging="360"/>
      </w:pPr>
    </w:lvl>
    <w:lvl w:ilvl="8" w:tplc="1C09001B" w:tentative="1">
      <w:start w:val="1"/>
      <w:numFmt w:val="lowerRoman"/>
      <w:lvlText w:val="%9."/>
      <w:lvlJc w:val="right"/>
      <w:pPr>
        <w:ind w:left="6490" w:hanging="180"/>
      </w:pPr>
    </w:lvl>
  </w:abstractNum>
  <w:abstractNum w:abstractNumId="2">
    <w:nsid w:val="13D32D82"/>
    <w:multiLevelType w:val="hybridMultilevel"/>
    <w:tmpl w:val="CD6A01EE"/>
    <w:lvl w:ilvl="0" w:tplc="C64AC2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89C7106"/>
    <w:multiLevelType w:val="hybridMultilevel"/>
    <w:tmpl w:val="E308440A"/>
    <w:lvl w:ilvl="0" w:tplc="2B3CEA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3C6F82"/>
    <w:multiLevelType w:val="hybridMultilevel"/>
    <w:tmpl w:val="36B07D78"/>
    <w:lvl w:ilvl="0" w:tplc="FC8E6410">
      <w:start w:val="1"/>
      <w:numFmt w:val="lowerLetter"/>
      <w:lvlText w:val="(%1)"/>
      <w:lvlJc w:val="left"/>
      <w:pPr>
        <w:ind w:left="730" w:hanging="360"/>
      </w:pPr>
      <w:rPr>
        <w:rFonts w:hint="default"/>
      </w:rPr>
    </w:lvl>
    <w:lvl w:ilvl="1" w:tplc="1C090019" w:tentative="1">
      <w:start w:val="1"/>
      <w:numFmt w:val="lowerLetter"/>
      <w:lvlText w:val="%2."/>
      <w:lvlJc w:val="left"/>
      <w:pPr>
        <w:ind w:left="1450" w:hanging="360"/>
      </w:pPr>
    </w:lvl>
    <w:lvl w:ilvl="2" w:tplc="1C09001B" w:tentative="1">
      <w:start w:val="1"/>
      <w:numFmt w:val="lowerRoman"/>
      <w:lvlText w:val="%3."/>
      <w:lvlJc w:val="right"/>
      <w:pPr>
        <w:ind w:left="2170" w:hanging="180"/>
      </w:pPr>
    </w:lvl>
    <w:lvl w:ilvl="3" w:tplc="1C09000F" w:tentative="1">
      <w:start w:val="1"/>
      <w:numFmt w:val="decimal"/>
      <w:lvlText w:val="%4."/>
      <w:lvlJc w:val="left"/>
      <w:pPr>
        <w:ind w:left="2890" w:hanging="360"/>
      </w:pPr>
    </w:lvl>
    <w:lvl w:ilvl="4" w:tplc="1C090019" w:tentative="1">
      <w:start w:val="1"/>
      <w:numFmt w:val="lowerLetter"/>
      <w:lvlText w:val="%5."/>
      <w:lvlJc w:val="left"/>
      <w:pPr>
        <w:ind w:left="3610" w:hanging="360"/>
      </w:pPr>
    </w:lvl>
    <w:lvl w:ilvl="5" w:tplc="1C09001B" w:tentative="1">
      <w:start w:val="1"/>
      <w:numFmt w:val="lowerRoman"/>
      <w:lvlText w:val="%6."/>
      <w:lvlJc w:val="right"/>
      <w:pPr>
        <w:ind w:left="4330" w:hanging="180"/>
      </w:pPr>
    </w:lvl>
    <w:lvl w:ilvl="6" w:tplc="1C09000F" w:tentative="1">
      <w:start w:val="1"/>
      <w:numFmt w:val="decimal"/>
      <w:lvlText w:val="%7."/>
      <w:lvlJc w:val="left"/>
      <w:pPr>
        <w:ind w:left="5050" w:hanging="360"/>
      </w:pPr>
    </w:lvl>
    <w:lvl w:ilvl="7" w:tplc="1C090019" w:tentative="1">
      <w:start w:val="1"/>
      <w:numFmt w:val="lowerLetter"/>
      <w:lvlText w:val="%8."/>
      <w:lvlJc w:val="left"/>
      <w:pPr>
        <w:ind w:left="5770" w:hanging="360"/>
      </w:pPr>
    </w:lvl>
    <w:lvl w:ilvl="8" w:tplc="1C09001B" w:tentative="1">
      <w:start w:val="1"/>
      <w:numFmt w:val="lowerRoman"/>
      <w:lvlText w:val="%9."/>
      <w:lvlJc w:val="right"/>
      <w:pPr>
        <w:ind w:left="6490" w:hanging="180"/>
      </w:pPr>
    </w:lvl>
  </w:abstractNum>
  <w:abstractNum w:abstractNumId="21">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7D181B"/>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18"/>
  </w:num>
  <w:num w:numId="5">
    <w:abstractNumId w:val="0"/>
  </w:num>
  <w:num w:numId="6">
    <w:abstractNumId w:val="16"/>
  </w:num>
  <w:num w:numId="7">
    <w:abstractNumId w:val="25"/>
  </w:num>
  <w:num w:numId="8">
    <w:abstractNumId w:val="7"/>
  </w:num>
  <w:num w:numId="9">
    <w:abstractNumId w:val="17"/>
  </w:num>
  <w:num w:numId="10">
    <w:abstractNumId w:val="27"/>
  </w:num>
  <w:num w:numId="11">
    <w:abstractNumId w:val="4"/>
  </w:num>
  <w:num w:numId="12">
    <w:abstractNumId w:val="21"/>
  </w:num>
  <w:num w:numId="13">
    <w:abstractNumId w:val="9"/>
  </w:num>
  <w:num w:numId="14">
    <w:abstractNumId w:val="5"/>
  </w:num>
  <w:num w:numId="15">
    <w:abstractNumId w:val="12"/>
  </w:num>
  <w:num w:numId="16">
    <w:abstractNumId w:val="24"/>
  </w:num>
  <w:num w:numId="17">
    <w:abstractNumId w:val="11"/>
  </w:num>
  <w:num w:numId="18">
    <w:abstractNumId w:val="8"/>
  </w:num>
  <w:num w:numId="19">
    <w:abstractNumId w:val="3"/>
  </w:num>
  <w:num w:numId="20">
    <w:abstractNumId w:val="6"/>
  </w:num>
  <w:num w:numId="21">
    <w:abstractNumId w:val="13"/>
  </w:num>
  <w:num w:numId="22">
    <w:abstractNumId w:val="23"/>
  </w:num>
  <w:num w:numId="23">
    <w:abstractNumId w:val="26"/>
  </w:num>
  <w:num w:numId="24">
    <w:abstractNumId w:val="15"/>
  </w:num>
  <w:num w:numId="25">
    <w:abstractNumId w:val="2"/>
  </w:num>
  <w:num w:numId="26">
    <w:abstractNumId w:val="22"/>
  </w:num>
  <w:num w:numId="27">
    <w:abstractNumId w:val="20"/>
  </w:num>
  <w:num w:numId="2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7971"/>
    <w:rsid w:val="00026EC0"/>
    <w:rsid w:val="00030927"/>
    <w:rsid w:val="0004105D"/>
    <w:rsid w:val="000410F6"/>
    <w:rsid w:val="0004190C"/>
    <w:rsid w:val="00046588"/>
    <w:rsid w:val="00050BFD"/>
    <w:rsid w:val="00052CE2"/>
    <w:rsid w:val="00054C1D"/>
    <w:rsid w:val="00067090"/>
    <w:rsid w:val="0006774F"/>
    <w:rsid w:val="00070401"/>
    <w:rsid w:val="0007147A"/>
    <w:rsid w:val="00072E1B"/>
    <w:rsid w:val="0007655F"/>
    <w:rsid w:val="00080611"/>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4111"/>
    <w:rsid w:val="00156483"/>
    <w:rsid w:val="00161FC4"/>
    <w:rsid w:val="0016515D"/>
    <w:rsid w:val="001702F2"/>
    <w:rsid w:val="00171528"/>
    <w:rsid w:val="00173403"/>
    <w:rsid w:val="001774BC"/>
    <w:rsid w:val="001848C4"/>
    <w:rsid w:val="00192D26"/>
    <w:rsid w:val="00194B05"/>
    <w:rsid w:val="0019515C"/>
    <w:rsid w:val="001A0397"/>
    <w:rsid w:val="001A6D2A"/>
    <w:rsid w:val="001B00F0"/>
    <w:rsid w:val="001B4619"/>
    <w:rsid w:val="001B51B9"/>
    <w:rsid w:val="001B727C"/>
    <w:rsid w:val="001C7F3F"/>
    <w:rsid w:val="001D2E53"/>
    <w:rsid w:val="001D4F07"/>
    <w:rsid w:val="001E1642"/>
    <w:rsid w:val="001E1BE7"/>
    <w:rsid w:val="001E48EE"/>
    <w:rsid w:val="001E6A90"/>
    <w:rsid w:val="001F2F8D"/>
    <w:rsid w:val="001F41F3"/>
    <w:rsid w:val="001F445E"/>
    <w:rsid w:val="001F6711"/>
    <w:rsid w:val="00203F6A"/>
    <w:rsid w:val="00213182"/>
    <w:rsid w:val="0021549B"/>
    <w:rsid w:val="00217699"/>
    <w:rsid w:val="00224067"/>
    <w:rsid w:val="002269FD"/>
    <w:rsid w:val="00227505"/>
    <w:rsid w:val="00260B24"/>
    <w:rsid w:val="00262ACE"/>
    <w:rsid w:val="00263360"/>
    <w:rsid w:val="002636AF"/>
    <w:rsid w:val="00275216"/>
    <w:rsid w:val="0027707E"/>
    <w:rsid w:val="0028030F"/>
    <w:rsid w:val="00281574"/>
    <w:rsid w:val="002840BD"/>
    <w:rsid w:val="002857B6"/>
    <w:rsid w:val="00286311"/>
    <w:rsid w:val="00291065"/>
    <w:rsid w:val="002A0DB1"/>
    <w:rsid w:val="002A15AC"/>
    <w:rsid w:val="002A6273"/>
    <w:rsid w:val="002B2B31"/>
    <w:rsid w:val="002B6D18"/>
    <w:rsid w:val="002C719B"/>
    <w:rsid w:val="002D09CC"/>
    <w:rsid w:val="002D3D40"/>
    <w:rsid w:val="002D5BF7"/>
    <w:rsid w:val="002D7BBD"/>
    <w:rsid w:val="002E6BBC"/>
    <w:rsid w:val="002E7253"/>
    <w:rsid w:val="002E79C9"/>
    <w:rsid w:val="002F0034"/>
    <w:rsid w:val="002F22DD"/>
    <w:rsid w:val="0031652F"/>
    <w:rsid w:val="00322BA4"/>
    <w:rsid w:val="003401CA"/>
    <w:rsid w:val="00340637"/>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4387"/>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926BD"/>
    <w:rsid w:val="00493775"/>
    <w:rsid w:val="004B69E2"/>
    <w:rsid w:val="004B6B6B"/>
    <w:rsid w:val="004E42FA"/>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D146C"/>
    <w:rsid w:val="005D1EEF"/>
    <w:rsid w:val="005E365A"/>
    <w:rsid w:val="005E6608"/>
    <w:rsid w:val="00600349"/>
    <w:rsid w:val="00604F50"/>
    <w:rsid w:val="00611D96"/>
    <w:rsid w:val="00612214"/>
    <w:rsid w:val="00625CD7"/>
    <w:rsid w:val="00630932"/>
    <w:rsid w:val="00632AE9"/>
    <w:rsid w:val="00640DE8"/>
    <w:rsid w:val="0064539A"/>
    <w:rsid w:val="006538C4"/>
    <w:rsid w:val="00653FE5"/>
    <w:rsid w:val="00661BE2"/>
    <w:rsid w:val="00670788"/>
    <w:rsid w:val="0067545A"/>
    <w:rsid w:val="00682A34"/>
    <w:rsid w:val="006921BE"/>
    <w:rsid w:val="006959E4"/>
    <w:rsid w:val="006A33CE"/>
    <w:rsid w:val="006A35FB"/>
    <w:rsid w:val="006A4983"/>
    <w:rsid w:val="006B0F80"/>
    <w:rsid w:val="006B1DED"/>
    <w:rsid w:val="006B389F"/>
    <w:rsid w:val="006C0567"/>
    <w:rsid w:val="006D21F9"/>
    <w:rsid w:val="006D7E71"/>
    <w:rsid w:val="006E7BC1"/>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4F29"/>
    <w:rsid w:val="00765301"/>
    <w:rsid w:val="00774F8F"/>
    <w:rsid w:val="00777A77"/>
    <w:rsid w:val="0078425B"/>
    <w:rsid w:val="00791471"/>
    <w:rsid w:val="007961D4"/>
    <w:rsid w:val="007B340B"/>
    <w:rsid w:val="007B7829"/>
    <w:rsid w:val="007C0AC3"/>
    <w:rsid w:val="007C1863"/>
    <w:rsid w:val="007D5B13"/>
    <w:rsid w:val="007E6925"/>
    <w:rsid w:val="007E7201"/>
    <w:rsid w:val="007F2B0B"/>
    <w:rsid w:val="007F3217"/>
    <w:rsid w:val="0080509D"/>
    <w:rsid w:val="008169B8"/>
    <w:rsid w:val="00822E00"/>
    <w:rsid w:val="00827AC9"/>
    <w:rsid w:val="00833136"/>
    <w:rsid w:val="00846897"/>
    <w:rsid w:val="0085538B"/>
    <w:rsid w:val="00856C4D"/>
    <w:rsid w:val="00860D16"/>
    <w:rsid w:val="008616A2"/>
    <w:rsid w:val="00865132"/>
    <w:rsid w:val="008769EF"/>
    <w:rsid w:val="00880AAF"/>
    <w:rsid w:val="00881381"/>
    <w:rsid w:val="00892846"/>
    <w:rsid w:val="0089703D"/>
    <w:rsid w:val="008A1398"/>
    <w:rsid w:val="008A1837"/>
    <w:rsid w:val="008A7C1D"/>
    <w:rsid w:val="008B0AB6"/>
    <w:rsid w:val="008B1BCF"/>
    <w:rsid w:val="008C1A56"/>
    <w:rsid w:val="008D3C30"/>
    <w:rsid w:val="008D4373"/>
    <w:rsid w:val="008E312C"/>
    <w:rsid w:val="008E78E6"/>
    <w:rsid w:val="008F366F"/>
    <w:rsid w:val="008F6A5A"/>
    <w:rsid w:val="009025C1"/>
    <w:rsid w:val="00905C38"/>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92AC5"/>
    <w:rsid w:val="009A755B"/>
    <w:rsid w:val="009B0CAB"/>
    <w:rsid w:val="009C416B"/>
    <w:rsid w:val="009D1805"/>
    <w:rsid w:val="009D33E2"/>
    <w:rsid w:val="009D4F78"/>
    <w:rsid w:val="009D6016"/>
    <w:rsid w:val="009E0268"/>
    <w:rsid w:val="009E1C96"/>
    <w:rsid w:val="009F0F35"/>
    <w:rsid w:val="009F17AE"/>
    <w:rsid w:val="009F1B70"/>
    <w:rsid w:val="009F2D5C"/>
    <w:rsid w:val="00A13BBD"/>
    <w:rsid w:val="00A16A7E"/>
    <w:rsid w:val="00A237CD"/>
    <w:rsid w:val="00A367A9"/>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A52CE"/>
    <w:rsid w:val="00AB23D3"/>
    <w:rsid w:val="00AD0B35"/>
    <w:rsid w:val="00AD7B7A"/>
    <w:rsid w:val="00AF06C1"/>
    <w:rsid w:val="00AF0F1A"/>
    <w:rsid w:val="00AF2D9C"/>
    <w:rsid w:val="00AF5D91"/>
    <w:rsid w:val="00B021CE"/>
    <w:rsid w:val="00B13369"/>
    <w:rsid w:val="00B170EA"/>
    <w:rsid w:val="00B26AB3"/>
    <w:rsid w:val="00B40A2F"/>
    <w:rsid w:val="00B45421"/>
    <w:rsid w:val="00B45D75"/>
    <w:rsid w:val="00B45FF3"/>
    <w:rsid w:val="00B46E62"/>
    <w:rsid w:val="00B553A6"/>
    <w:rsid w:val="00B65046"/>
    <w:rsid w:val="00B76C9E"/>
    <w:rsid w:val="00B8345D"/>
    <w:rsid w:val="00B878DF"/>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7822"/>
    <w:rsid w:val="00BF0672"/>
    <w:rsid w:val="00BF0809"/>
    <w:rsid w:val="00BF1930"/>
    <w:rsid w:val="00BF738D"/>
    <w:rsid w:val="00C143F5"/>
    <w:rsid w:val="00C15423"/>
    <w:rsid w:val="00C15D71"/>
    <w:rsid w:val="00C31057"/>
    <w:rsid w:val="00C331B7"/>
    <w:rsid w:val="00C360AA"/>
    <w:rsid w:val="00C3772F"/>
    <w:rsid w:val="00C41A50"/>
    <w:rsid w:val="00C66967"/>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3927"/>
    <w:rsid w:val="00CE6B8A"/>
    <w:rsid w:val="00CF1B81"/>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3B09"/>
    <w:rsid w:val="00D86E52"/>
    <w:rsid w:val="00D93520"/>
    <w:rsid w:val="00D93903"/>
    <w:rsid w:val="00DA29F5"/>
    <w:rsid w:val="00DA495F"/>
    <w:rsid w:val="00DB11B2"/>
    <w:rsid w:val="00DC255C"/>
    <w:rsid w:val="00DC592F"/>
    <w:rsid w:val="00DC7CDA"/>
    <w:rsid w:val="00DD44C1"/>
    <w:rsid w:val="00DE1284"/>
    <w:rsid w:val="00DF2638"/>
    <w:rsid w:val="00DF705C"/>
    <w:rsid w:val="00E1080E"/>
    <w:rsid w:val="00E17F42"/>
    <w:rsid w:val="00E21A4E"/>
    <w:rsid w:val="00E21A66"/>
    <w:rsid w:val="00E23FA9"/>
    <w:rsid w:val="00E25344"/>
    <w:rsid w:val="00E30F9B"/>
    <w:rsid w:val="00E44AFC"/>
    <w:rsid w:val="00E471BC"/>
    <w:rsid w:val="00E55AFD"/>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5386FCB65E04B8B6F10FD59F7DE77" ma:contentTypeVersion="8" ma:contentTypeDescription="Create a new document." ma:contentTypeScope="" ma:versionID="6ad88183e1af20d3670ff4568c36e65a">
  <xsd:schema xmlns:xsd="http://www.w3.org/2001/XMLSchema" xmlns:xs="http://www.w3.org/2001/XMLSchema" xmlns:p="http://schemas.microsoft.com/office/2006/metadata/properties" xmlns:ns3="a1983447-f1e7-405a-b905-aa09e2b30f10" xmlns:ns4="a3099f87-4457-4974-9049-e2d53f6a50ff" targetNamespace="http://schemas.microsoft.com/office/2006/metadata/properties" ma:root="true" ma:fieldsID="03d485010fecb642d206456e5870312b" ns3:_="" ns4:_="">
    <xsd:import namespace="a1983447-f1e7-405a-b905-aa09e2b30f10"/>
    <xsd:import namespace="a3099f87-4457-4974-9049-e2d53f6a50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83447-f1e7-405a-b905-aa09e2b3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99f87-4457-4974-9049-e2d53f6a50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C9A4D7-619D-4FD9-A058-79162BB11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83447-f1e7-405a-b905-aa09e2b30f10"/>
    <ds:schemaRef ds:uri="a3099f87-4457-4974-9049-e2d53f6a5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80FC-484E-4076-B831-88FBA2FF0F9E}">
  <ds:schemaRefs>
    <ds:schemaRef ds:uri="http://schemas.microsoft.com/sharepoint/v3/contenttype/forms"/>
  </ds:schemaRefs>
</ds:datastoreItem>
</file>

<file path=customXml/itemProps3.xml><?xml version="1.0" encoding="utf-8"?>
<ds:datastoreItem xmlns:ds="http://schemas.openxmlformats.org/officeDocument/2006/customXml" ds:itemID="{918AE0BE-F04F-4BCE-8582-FF273F2932F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2022-10-03T13:01:00Z</cp:lastPrinted>
  <dcterms:created xsi:type="dcterms:W3CDTF">2022-10-14T07:18:00Z</dcterms:created>
  <dcterms:modified xsi:type="dcterms:W3CDTF">2022-10-14T07:18:00Z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0x0101002205386FCB65E04B8B6F10FD59F7DE77</vt:lpwstr>
  </property>
</Properties>
</file>