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09" w:rsidRDefault="00BB7F8B">
      <w:pPr>
        <w:rPr>
          <w:rFonts w:ascii="Arial" w:hAnsi="Arial" w:cs="Arial"/>
          <w:noProof/>
        </w:rPr>
      </w:pPr>
      <w:r>
        <w:rPr>
          <w:rFonts w:ascii="Arial" w:hAnsi="Arial" w:cs="Arial"/>
          <w:noProof/>
          <w:lang w:val="en-ZA" w:eastAsia="en-ZA"/>
        </w:rPr>
        <w:drawing>
          <wp:anchor distT="0" distB="0" distL="114300" distR="114300" simplePos="0" relativeHeight="251657728" behindDoc="0" locked="0" layoutInCell="1" allowOverlap="1">
            <wp:simplePos x="0" y="0"/>
            <wp:positionH relativeFrom="column">
              <wp:posOffset>1079500</wp:posOffset>
            </wp:positionH>
            <wp:positionV relativeFrom="paragraph">
              <wp:posOffset>-513715</wp:posOffset>
            </wp:positionV>
            <wp:extent cx="3365500" cy="1968500"/>
            <wp:effectExtent l="19050" t="0" r="6350" b="0"/>
            <wp:wrapSquare wrapText="bothSides"/>
            <wp:docPr id="2" name="Picture 2" descr="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pic:cNvPicPr>
                      <a:picLocks noChangeAspect="1" noChangeArrowheads="1"/>
                    </pic:cNvPicPr>
                  </pic:nvPicPr>
                  <pic:blipFill>
                    <a:blip r:embed="rId7" cstate="print"/>
                    <a:srcRect/>
                    <a:stretch>
                      <a:fillRect/>
                    </a:stretch>
                  </pic:blipFill>
                  <pic:spPr bwMode="auto">
                    <a:xfrm>
                      <a:off x="0" y="0"/>
                      <a:ext cx="3365500" cy="1968500"/>
                    </a:xfrm>
                    <a:prstGeom prst="rect">
                      <a:avLst/>
                    </a:prstGeom>
                    <a:noFill/>
                    <a:ln w="9525">
                      <a:noFill/>
                      <a:miter lim="800000"/>
                      <a:headEnd/>
                      <a:tailEnd/>
                    </a:ln>
                  </pic:spPr>
                </pic:pic>
              </a:graphicData>
            </a:graphic>
          </wp:anchor>
        </w:drawing>
      </w:r>
    </w:p>
    <w:p w:rsidR="005A186A" w:rsidRDefault="005A186A">
      <w:pPr>
        <w:rPr>
          <w:rFonts w:ascii="Arial" w:hAnsi="Arial" w:cs="Arial"/>
          <w:noProof/>
        </w:rPr>
      </w:pPr>
    </w:p>
    <w:p w:rsidR="005A186A" w:rsidRDefault="005A186A">
      <w:pPr>
        <w:rPr>
          <w:rFonts w:ascii="Arial" w:hAnsi="Arial" w:cs="Arial"/>
          <w:noProof/>
        </w:rPr>
      </w:pPr>
    </w:p>
    <w:p w:rsidR="005A186A" w:rsidRDefault="005A186A"/>
    <w:p w:rsidR="00984D31" w:rsidRDefault="00984D31"/>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TION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L </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SSEMBLY  </w:t>
      </w: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 xml:space="preserve">QUESTION FOR </w:t>
      </w:r>
      <w:r w:rsidR="00C12629">
        <w:rPr>
          <w:rFonts w:ascii="Arial" w:hAnsi="Arial" w:cs="Arial"/>
          <w:b/>
          <w:sz w:val="24"/>
          <w:szCs w:val="24"/>
        </w:rPr>
        <w:t xml:space="preserve">WRITTEN </w:t>
      </w:r>
      <w:r w:rsidRPr="00984D31">
        <w:rPr>
          <w:rFonts w:ascii="Arial" w:hAnsi="Arial" w:cs="Arial"/>
          <w:b/>
          <w:sz w:val="24"/>
          <w:szCs w:val="24"/>
        </w:rPr>
        <w:t xml:space="preserve">REPLY </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P</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RLI</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MENT</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RY QUESTION NO.: </w:t>
      </w:r>
      <w:r w:rsidR="00C228CB">
        <w:rPr>
          <w:rFonts w:ascii="Arial" w:hAnsi="Arial" w:cs="Arial"/>
          <w:b/>
          <w:sz w:val="24"/>
          <w:szCs w:val="24"/>
        </w:rPr>
        <w:t>2</w:t>
      </w:r>
      <w:r w:rsidR="00902285">
        <w:rPr>
          <w:rFonts w:ascii="Arial" w:hAnsi="Arial" w:cs="Arial"/>
          <w:b/>
          <w:sz w:val="24"/>
          <w:szCs w:val="24"/>
        </w:rPr>
        <w:t>829</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D</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TE OF QUESTION: </w:t>
      </w:r>
      <w:r w:rsidR="00C12629">
        <w:rPr>
          <w:rFonts w:ascii="Arial" w:hAnsi="Arial" w:cs="Arial"/>
          <w:b/>
          <w:sz w:val="24"/>
          <w:szCs w:val="24"/>
        </w:rPr>
        <w:t xml:space="preserve">7 </w:t>
      </w:r>
      <w:r w:rsidR="00902285">
        <w:rPr>
          <w:rFonts w:ascii="Arial" w:hAnsi="Arial" w:cs="Arial"/>
          <w:b/>
          <w:sz w:val="24"/>
          <w:szCs w:val="24"/>
        </w:rPr>
        <w:t xml:space="preserve">AUGUST </w:t>
      </w:r>
      <w:r w:rsidRPr="00984D31">
        <w:rPr>
          <w:rFonts w:ascii="Arial" w:hAnsi="Arial" w:cs="Arial"/>
          <w:b/>
          <w:sz w:val="24"/>
          <w:szCs w:val="24"/>
        </w:rPr>
        <w:t>2015</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 xml:space="preserve">DATE OF REPLY: </w:t>
      </w:r>
      <w:r w:rsidR="009457CB">
        <w:rPr>
          <w:rFonts w:ascii="Arial" w:hAnsi="Arial" w:cs="Arial"/>
          <w:b/>
          <w:sz w:val="24"/>
          <w:szCs w:val="24"/>
        </w:rPr>
        <w:t xml:space="preserve"> </w:t>
      </w:r>
      <w:r w:rsidR="00902285">
        <w:rPr>
          <w:rFonts w:ascii="Arial" w:hAnsi="Arial" w:cs="Arial"/>
          <w:b/>
          <w:sz w:val="24"/>
          <w:szCs w:val="24"/>
        </w:rPr>
        <w:t xml:space="preserve">21 </w:t>
      </w:r>
      <w:r w:rsidR="009457CB">
        <w:rPr>
          <w:rFonts w:ascii="Arial" w:hAnsi="Arial" w:cs="Arial"/>
          <w:b/>
          <w:sz w:val="24"/>
          <w:szCs w:val="24"/>
        </w:rPr>
        <w:t>AUGUST 2015</w:t>
      </w:r>
    </w:p>
    <w:p w:rsidR="00984D31" w:rsidRDefault="00984D31" w:rsidP="00984D31">
      <w:pPr>
        <w:ind w:left="-180"/>
        <w:rPr>
          <w:rFonts w:ascii="Arial" w:hAnsi="Arial" w:cs="Arial"/>
          <w:b/>
        </w:rPr>
      </w:pPr>
    </w:p>
    <w:p w:rsidR="00C12629" w:rsidRPr="00C12629" w:rsidRDefault="00C12629" w:rsidP="00C12629">
      <w:pPr>
        <w:tabs>
          <w:tab w:val="right" w:pos="9000"/>
        </w:tabs>
        <w:spacing w:before="100" w:beforeAutospacing="1" w:after="100" w:afterAutospacing="1" w:line="360" w:lineRule="auto"/>
        <w:jc w:val="both"/>
        <w:rPr>
          <w:rFonts w:ascii="Arial" w:hAnsi="Arial" w:cs="Arial"/>
          <w:b/>
          <w:sz w:val="24"/>
          <w:szCs w:val="24"/>
        </w:rPr>
      </w:pPr>
      <w:r w:rsidRPr="00C12629">
        <w:rPr>
          <w:rFonts w:ascii="Arial" w:hAnsi="Arial" w:cs="Arial"/>
          <w:b/>
          <w:sz w:val="24"/>
          <w:szCs w:val="24"/>
        </w:rPr>
        <w:t xml:space="preserve">Mr A M Figlan (DA) to ask the Minister of Justice and Correctional </w:t>
      </w:r>
      <w:r w:rsidR="00902285">
        <w:rPr>
          <w:rFonts w:ascii="Arial" w:hAnsi="Arial" w:cs="Arial"/>
          <w:b/>
          <w:sz w:val="24"/>
          <w:szCs w:val="24"/>
        </w:rPr>
        <w:t xml:space="preserve">                                                       </w:t>
      </w:r>
      <w:r w:rsidRPr="00C12629">
        <w:rPr>
          <w:rFonts w:ascii="Arial" w:hAnsi="Arial" w:cs="Arial"/>
          <w:b/>
          <w:sz w:val="24"/>
          <w:szCs w:val="24"/>
        </w:rPr>
        <w:t>Services:</w:t>
      </w:r>
    </w:p>
    <w:p w:rsidR="00C12629" w:rsidRPr="00902285" w:rsidRDefault="00C12629" w:rsidP="00902285">
      <w:pPr>
        <w:tabs>
          <w:tab w:val="right" w:pos="9000"/>
        </w:tabs>
        <w:spacing w:before="100" w:beforeAutospacing="1" w:after="100" w:afterAutospacing="1" w:line="360" w:lineRule="auto"/>
        <w:ind w:left="1440"/>
        <w:rPr>
          <w:rFonts w:ascii="Arial" w:hAnsi="Arial" w:cs="Arial"/>
          <w:sz w:val="24"/>
          <w:szCs w:val="24"/>
        </w:rPr>
      </w:pPr>
      <w:r w:rsidRPr="00902285">
        <w:rPr>
          <w:rFonts w:ascii="Arial" w:hAnsi="Arial" w:cs="Arial"/>
          <w:sz w:val="24"/>
          <w:szCs w:val="24"/>
        </w:rPr>
        <w:t xml:space="preserve">Does his department have any statistical information on how many (a) court cases and (b) resultant convictions were made in relation to the outbreak of violent xenophobic attacks in (i) 2008 and (ii) more recently in 2015?                                                                                </w:t>
      </w:r>
      <w:r w:rsidR="0069796C" w:rsidRPr="00902285">
        <w:rPr>
          <w:rFonts w:ascii="Arial" w:hAnsi="Arial" w:cs="Arial"/>
          <w:sz w:val="24"/>
          <w:szCs w:val="24"/>
        </w:rPr>
        <w:t>NW 3302 E</w:t>
      </w:r>
      <w:r w:rsidRPr="00902285">
        <w:rPr>
          <w:rFonts w:ascii="Arial" w:hAnsi="Arial" w:cs="Arial"/>
          <w:sz w:val="24"/>
          <w:szCs w:val="24"/>
        </w:rPr>
        <w:t xml:space="preserve">              </w:t>
      </w:r>
    </w:p>
    <w:p w:rsidR="00C12629" w:rsidRDefault="00C12629" w:rsidP="00C12629">
      <w:pPr>
        <w:tabs>
          <w:tab w:val="right" w:pos="9000"/>
        </w:tabs>
        <w:spacing w:before="100" w:beforeAutospacing="1" w:after="100" w:afterAutospacing="1" w:line="360" w:lineRule="auto"/>
        <w:ind w:left="709"/>
        <w:rPr>
          <w:rFonts w:ascii="Arial" w:hAnsi="Arial" w:cs="Arial"/>
          <w:b/>
          <w:sz w:val="24"/>
          <w:szCs w:val="24"/>
        </w:rPr>
      </w:pPr>
      <w:r w:rsidRPr="00C12629">
        <w:rPr>
          <w:rFonts w:ascii="Arial" w:hAnsi="Arial" w:cs="Arial"/>
          <w:b/>
          <w:sz w:val="24"/>
          <w:szCs w:val="24"/>
        </w:rPr>
        <w:t xml:space="preserve">                                                                                              </w:t>
      </w:r>
      <w:r>
        <w:rPr>
          <w:rFonts w:ascii="Arial" w:hAnsi="Arial" w:cs="Arial"/>
          <w:b/>
          <w:sz w:val="24"/>
          <w:szCs w:val="24"/>
        </w:rPr>
        <w:t xml:space="preserve">                              </w:t>
      </w:r>
    </w:p>
    <w:p w:rsidR="00320AD1" w:rsidRDefault="00320AD1" w:rsidP="00C12629">
      <w:pPr>
        <w:tabs>
          <w:tab w:val="right" w:pos="9000"/>
        </w:tabs>
        <w:spacing w:before="100" w:beforeAutospacing="1" w:after="100" w:afterAutospacing="1" w:line="360" w:lineRule="auto"/>
        <w:ind w:left="709"/>
        <w:jc w:val="both"/>
        <w:rPr>
          <w:rFonts w:ascii="Arial" w:hAnsi="Arial" w:cs="Arial"/>
          <w:b/>
          <w:sz w:val="24"/>
          <w:szCs w:val="24"/>
        </w:rPr>
      </w:pPr>
    </w:p>
    <w:p w:rsidR="00320AD1" w:rsidRDefault="00320AD1" w:rsidP="00C12629">
      <w:pPr>
        <w:tabs>
          <w:tab w:val="right" w:pos="9000"/>
        </w:tabs>
        <w:spacing w:before="100" w:beforeAutospacing="1" w:after="100" w:afterAutospacing="1" w:line="360" w:lineRule="auto"/>
        <w:ind w:left="709"/>
        <w:jc w:val="both"/>
        <w:rPr>
          <w:rFonts w:ascii="Arial" w:hAnsi="Arial" w:cs="Arial"/>
          <w:b/>
          <w:sz w:val="24"/>
          <w:szCs w:val="24"/>
        </w:rPr>
      </w:pPr>
    </w:p>
    <w:p w:rsidR="00320AD1" w:rsidRDefault="00320AD1" w:rsidP="00C12629">
      <w:pPr>
        <w:tabs>
          <w:tab w:val="right" w:pos="9000"/>
        </w:tabs>
        <w:spacing w:before="100" w:beforeAutospacing="1" w:after="100" w:afterAutospacing="1" w:line="360" w:lineRule="auto"/>
        <w:ind w:left="709"/>
        <w:jc w:val="both"/>
        <w:rPr>
          <w:rFonts w:ascii="Arial" w:hAnsi="Arial" w:cs="Arial"/>
          <w:b/>
          <w:sz w:val="24"/>
          <w:szCs w:val="24"/>
        </w:rPr>
      </w:pPr>
    </w:p>
    <w:p w:rsidR="00320AD1" w:rsidRDefault="00320AD1" w:rsidP="00C12629">
      <w:pPr>
        <w:tabs>
          <w:tab w:val="right" w:pos="9000"/>
        </w:tabs>
        <w:spacing w:before="100" w:beforeAutospacing="1" w:after="100" w:afterAutospacing="1" w:line="360" w:lineRule="auto"/>
        <w:ind w:left="709"/>
        <w:jc w:val="both"/>
        <w:rPr>
          <w:rFonts w:ascii="Arial" w:hAnsi="Arial" w:cs="Arial"/>
          <w:b/>
          <w:sz w:val="24"/>
          <w:szCs w:val="24"/>
        </w:rPr>
      </w:pPr>
    </w:p>
    <w:p w:rsidR="00320AD1" w:rsidRDefault="00320AD1" w:rsidP="00C12629">
      <w:pPr>
        <w:tabs>
          <w:tab w:val="right" w:pos="9000"/>
        </w:tabs>
        <w:spacing w:before="100" w:beforeAutospacing="1" w:after="100" w:afterAutospacing="1" w:line="360" w:lineRule="auto"/>
        <w:ind w:left="709"/>
        <w:jc w:val="both"/>
        <w:rPr>
          <w:rFonts w:ascii="Arial" w:hAnsi="Arial" w:cs="Arial"/>
          <w:b/>
          <w:sz w:val="24"/>
          <w:szCs w:val="24"/>
        </w:rPr>
      </w:pPr>
    </w:p>
    <w:p w:rsidR="00320AD1" w:rsidRDefault="00320AD1" w:rsidP="00C12629">
      <w:pPr>
        <w:tabs>
          <w:tab w:val="right" w:pos="9000"/>
        </w:tabs>
        <w:spacing w:before="100" w:beforeAutospacing="1" w:after="100" w:afterAutospacing="1" w:line="360" w:lineRule="auto"/>
        <w:ind w:left="709"/>
        <w:jc w:val="both"/>
        <w:rPr>
          <w:rFonts w:ascii="Arial" w:hAnsi="Arial" w:cs="Arial"/>
          <w:b/>
          <w:sz w:val="24"/>
          <w:szCs w:val="24"/>
        </w:rPr>
      </w:pPr>
    </w:p>
    <w:p w:rsidR="00320AD1" w:rsidRDefault="00320AD1" w:rsidP="00C12629">
      <w:pPr>
        <w:tabs>
          <w:tab w:val="right" w:pos="9000"/>
        </w:tabs>
        <w:spacing w:before="100" w:beforeAutospacing="1" w:after="100" w:afterAutospacing="1" w:line="360" w:lineRule="auto"/>
        <w:ind w:left="709"/>
        <w:jc w:val="both"/>
        <w:rPr>
          <w:rFonts w:ascii="Arial" w:hAnsi="Arial" w:cs="Arial"/>
          <w:b/>
          <w:sz w:val="24"/>
          <w:szCs w:val="24"/>
        </w:rPr>
      </w:pPr>
    </w:p>
    <w:p w:rsidR="00984D31" w:rsidRPr="006026CA" w:rsidRDefault="00984D31" w:rsidP="00C12629">
      <w:pPr>
        <w:tabs>
          <w:tab w:val="right" w:pos="9000"/>
        </w:tabs>
        <w:spacing w:before="100" w:beforeAutospacing="1" w:after="100" w:afterAutospacing="1" w:line="360" w:lineRule="auto"/>
        <w:ind w:left="709"/>
        <w:jc w:val="both"/>
        <w:rPr>
          <w:rFonts w:ascii="Arial" w:hAnsi="Arial" w:cs="Arial"/>
          <w:b/>
          <w:sz w:val="24"/>
          <w:szCs w:val="24"/>
        </w:rPr>
      </w:pPr>
      <w:r w:rsidRPr="006026CA">
        <w:rPr>
          <w:rFonts w:ascii="Arial" w:hAnsi="Arial" w:cs="Arial"/>
          <w:b/>
          <w:sz w:val="24"/>
          <w:szCs w:val="24"/>
        </w:rPr>
        <w:lastRenderedPageBreak/>
        <w:t>REPLY:</w:t>
      </w:r>
    </w:p>
    <w:tbl>
      <w:tblPr>
        <w:tblW w:w="0" w:type="auto"/>
        <w:tblCellSpacing w:w="0" w:type="dxa"/>
        <w:tblCellMar>
          <w:left w:w="0" w:type="dxa"/>
          <w:right w:w="0" w:type="dxa"/>
        </w:tblCellMar>
        <w:tblLook w:val="04A0"/>
      </w:tblPr>
      <w:tblGrid>
        <w:gridCol w:w="6"/>
      </w:tblGrid>
      <w:tr w:rsidR="006026CA" w:rsidRPr="006026CA" w:rsidTr="00F80F17">
        <w:trPr>
          <w:tblCellSpacing w:w="0" w:type="dxa"/>
        </w:trPr>
        <w:tc>
          <w:tcPr>
            <w:tcW w:w="0" w:type="auto"/>
            <w:vAlign w:val="center"/>
          </w:tcPr>
          <w:tbl>
            <w:tblPr>
              <w:tblW w:w="0" w:type="auto"/>
              <w:tblCellSpacing w:w="0" w:type="dxa"/>
              <w:tblCellMar>
                <w:left w:w="0" w:type="dxa"/>
                <w:right w:w="0" w:type="dxa"/>
              </w:tblCellMar>
              <w:tblLook w:val="04A0"/>
            </w:tblPr>
            <w:tblGrid>
              <w:gridCol w:w="6"/>
            </w:tblGrid>
            <w:tr w:rsidR="006026CA" w:rsidRPr="006026CA" w:rsidTr="00F80F17">
              <w:trPr>
                <w:tblCellSpacing w:w="0" w:type="dxa"/>
              </w:trPr>
              <w:tc>
                <w:tcPr>
                  <w:tcW w:w="0" w:type="auto"/>
                  <w:vAlign w:val="center"/>
                </w:tcPr>
                <w:p w:rsidR="00B1446C" w:rsidRPr="006026CA" w:rsidRDefault="00B1446C" w:rsidP="00CC7970">
                  <w:pPr>
                    <w:tabs>
                      <w:tab w:val="right" w:pos="9000"/>
                    </w:tabs>
                    <w:spacing w:before="100" w:beforeAutospacing="1" w:after="100" w:afterAutospacing="1" w:line="360" w:lineRule="auto"/>
                    <w:ind w:left="709"/>
                    <w:jc w:val="both"/>
                    <w:rPr>
                      <w:rFonts w:ascii="Arial" w:hAnsi="Arial" w:cs="Arial"/>
                      <w:sz w:val="24"/>
                      <w:szCs w:val="24"/>
                    </w:rPr>
                  </w:pPr>
                </w:p>
              </w:tc>
            </w:tr>
          </w:tbl>
          <w:p w:rsidR="006026CA" w:rsidRPr="006026CA" w:rsidRDefault="006026CA" w:rsidP="00345ED1">
            <w:pPr>
              <w:tabs>
                <w:tab w:val="right" w:pos="9000"/>
              </w:tabs>
              <w:spacing w:before="100" w:beforeAutospacing="1" w:after="100" w:afterAutospacing="1" w:line="360" w:lineRule="auto"/>
              <w:ind w:left="709"/>
              <w:jc w:val="both"/>
              <w:rPr>
                <w:rFonts w:ascii="Arial" w:hAnsi="Arial" w:cs="Arial"/>
                <w:sz w:val="24"/>
                <w:szCs w:val="24"/>
              </w:rPr>
            </w:pPr>
          </w:p>
        </w:tc>
      </w:tr>
    </w:tbl>
    <w:p w:rsidR="002F2375" w:rsidRPr="00F41E5C" w:rsidRDefault="00D96C7C" w:rsidP="00970649">
      <w:pPr>
        <w:pStyle w:val="BodyTextIndent2"/>
        <w:numPr>
          <w:ilvl w:val="0"/>
          <w:numId w:val="6"/>
        </w:numPr>
        <w:tabs>
          <w:tab w:val="left" w:pos="720"/>
        </w:tabs>
        <w:ind w:left="1134" w:hanging="54"/>
        <w:jc w:val="both"/>
        <w:rPr>
          <w:rFonts w:ascii="Arial" w:hAnsi="Arial" w:cs="Arial"/>
          <w:szCs w:val="24"/>
          <w:lang w:val="en-ZA"/>
        </w:rPr>
      </w:pPr>
      <w:r w:rsidRPr="00583F2E">
        <w:rPr>
          <w:rFonts w:ascii="Arial" w:hAnsi="Arial" w:cs="Arial"/>
          <w:szCs w:val="24"/>
        </w:rPr>
        <w:t xml:space="preserve">and (b) </w:t>
      </w:r>
      <w:r w:rsidR="003C1E8C" w:rsidRPr="00583F2E">
        <w:rPr>
          <w:rFonts w:ascii="Arial" w:hAnsi="Arial" w:cs="Arial"/>
          <w:szCs w:val="24"/>
        </w:rPr>
        <w:t>I wish to in</w:t>
      </w:r>
      <w:r w:rsidR="007D6C82" w:rsidRPr="00583F2E">
        <w:rPr>
          <w:rFonts w:ascii="Arial" w:hAnsi="Arial" w:cs="Arial"/>
          <w:szCs w:val="24"/>
        </w:rPr>
        <w:t xml:space="preserve">form the Honourable Member that </w:t>
      </w:r>
      <w:r w:rsidR="00640539">
        <w:rPr>
          <w:rFonts w:ascii="Arial" w:hAnsi="Arial" w:cs="Arial"/>
          <w:szCs w:val="24"/>
        </w:rPr>
        <w:t xml:space="preserve">the </w:t>
      </w:r>
      <w:r w:rsidR="00902285">
        <w:rPr>
          <w:rFonts w:ascii="Arial" w:hAnsi="Arial" w:cs="Arial"/>
          <w:szCs w:val="24"/>
        </w:rPr>
        <w:t>D</w:t>
      </w:r>
      <w:r w:rsidR="00640539">
        <w:rPr>
          <w:rFonts w:ascii="Arial" w:hAnsi="Arial" w:cs="Arial"/>
          <w:szCs w:val="24"/>
        </w:rPr>
        <w:t>epartment</w:t>
      </w:r>
      <w:r w:rsidR="00902285">
        <w:rPr>
          <w:rFonts w:ascii="Arial" w:hAnsi="Arial" w:cs="Arial"/>
          <w:szCs w:val="24"/>
        </w:rPr>
        <w:t xml:space="preserve"> of Justice and Constitutional Development</w:t>
      </w:r>
      <w:r w:rsidR="00640539">
        <w:rPr>
          <w:rFonts w:ascii="Arial" w:hAnsi="Arial" w:cs="Arial"/>
          <w:szCs w:val="24"/>
        </w:rPr>
        <w:t xml:space="preserve"> has limited statistical information in relation to the court cases and resultant convictions made in relation to the violent attacks against foreign nationals in 2008 and 2015.  The reason for this is that there is no specific crime category prosecuted or recorded in official data bases relating to </w:t>
      </w:r>
      <w:r w:rsidR="00640539" w:rsidRPr="00640539">
        <w:rPr>
          <w:rFonts w:ascii="Arial" w:hAnsi="Arial" w:cs="Arial"/>
          <w:szCs w:val="24"/>
        </w:rPr>
        <w:t>“violent xenophobic attacks”</w:t>
      </w:r>
      <w:r w:rsidR="00640539">
        <w:rPr>
          <w:rFonts w:ascii="Arial" w:hAnsi="Arial" w:cs="Arial"/>
          <w:szCs w:val="24"/>
        </w:rPr>
        <w:t xml:space="preserve">.  Crimes committed in this regard are </w:t>
      </w:r>
      <w:r w:rsidR="00F41E5C">
        <w:rPr>
          <w:rFonts w:ascii="Arial" w:hAnsi="Arial" w:cs="Arial"/>
          <w:szCs w:val="24"/>
        </w:rPr>
        <w:t xml:space="preserve">therefore </w:t>
      </w:r>
      <w:r w:rsidR="00640539">
        <w:rPr>
          <w:rFonts w:ascii="Arial" w:hAnsi="Arial" w:cs="Arial"/>
          <w:szCs w:val="24"/>
        </w:rPr>
        <w:t xml:space="preserve">normally </w:t>
      </w:r>
      <w:r w:rsidR="00F41E5C">
        <w:rPr>
          <w:rFonts w:ascii="Arial" w:hAnsi="Arial" w:cs="Arial"/>
          <w:szCs w:val="24"/>
        </w:rPr>
        <w:t xml:space="preserve">crimes such as </w:t>
      </w:r>
      <w:r w:rsidR="00640539">
        <w:rPr>
          <w:rFonts w:ascii="Arial" w:hAnsi="Arial" w:cs="Arial"/>
          <w:szCs w:val="24"/>
        </w:rPr>
        <w:t xml:space="preserve">assaults or murders where the victims </w:t>
      </w:r>
      <w:r w:rsidR="00FC395F">
        <w:rPr>
          <w:rFonts w:ascii="Arial" w:hAnsi="Arial" w:cs="Arial"/>
          <w:szCs w:val="24"/>
        </w:rPr>
        <w:t xml:space="preserve">are foreign nationals. </w:t>
      </w:r>
      <w:r w:rsidR="00F41E5C">
        <w:rPr>
          <w:rFonts w:ascii="Arial" w:hAnsi="Arial" w:cs="Arial"/>
          <w:szCs w:val="24"/>
        </w:rPr>
        <w:t>The</w:t>
      </w:r>
      <w:r w:rsidR="00FC395F">
        <w:rPr>
          <w:rFonts w:ascii="Arial" w:hAnsi="Arial" w:cs="Arial"/>
          <w:szCs w:val="24"/>
        </w:rPr>
        <w:t xml:space="preserve">se cases </w:t>
      </w:r>
      <w:r w:rsidR="00F41E5C">
        <w:rPr>
          <w:rFonts w:ascii="Arial" w:hAnsi="Arial" w:cs="Arial"/>
          <w:szCs w:val="24"/>
        </w:rPr>
        <w:t>are thus recorded as normal crimes</w:t>
      </w:r>
      <w:r w:rsidR="00FC395F">
        <w:rPr>
          <w:rFonts w:ascii="Arial" w:hAnsi="Arial" w:cs="Arial"/>
          <w:szCs w:val="24"/>
        </w:rPr>
        <w:t xml:space="preserve"> in terms of the SAPS CAS system and the court registers</w:t>
      </w:r>
      <w:r w:rsidR="00F41E5C">
        <w:rPr>
          <w:rFonts w:ascii="Arial" w:hAnsi="Arial" w:cs="Arial"/>
          <w:szCs w:val="24"/>
        </w:rPr>
        <w:t xml:space="preserve">.  Limited </w:t>
      </w:r>
      <w:r w:rsidR="00640539">
        <w:rPr>
          <w:rFonts w:ascii="Arial" w:hAnsi="Arial" w:cs="Arial"/>
          <w:szCs w:val="24"/>
        </w:rPr>
        <w:t xml:space="preserve">manual recording of such incidents and cases </w:t>
      </w:r>
      <w:r w:rsidR="00F41E5C">
        <w:rPr>
          <w:rFonts w:ascii="Arial" w:hAnsi="Arial" w:cs="Arial"/>
          <w:szCs w:val="24"/>
        </w:rPr>
        <w:t xml:space="preserve">were dealt with during 2008.   During 2015 more detailed capturing of statistics are </w:t>
      </w:r>
      <w:r w:rsidR="00902285">
        <w:rPr>
          <w:rFonts w:ascii="Arial" w:hAnsi="Arial" w:cs="Arial"/>
          <w:szCs w:val="24"/>
        </w:rPr>
        <w:t xml:space="preserve">being </w:t>
      </w:r>
      <w:r w:rsidR="00F41E5C">
        <w:rPr>
          <w:rFonts w:ascii="Arial" w:hAnsi="Arial" w:cs="Arial"/>
          <w:szCs w:val="24"/>
        </w:rPr>
        <w:t xml:space="preserve">done by the South African Police Service and the National Prosecution Authority under auspices of the Justice Crime Prevention and Security (JCPS) Cluster </w:t>
      </w:r>
      <w:r w:rsidR="0006246C">
        <w:rPr>
          <w:rFonts w:ascii="Arial" w:hAnsi="Arial" w:cs="Arial"/>
          <w:szCs w:val="24"/>
        </w:rPr>
        <w:t xml:space="preserve">and its NATJOINTS Sub-Committee, </w:t>
      </w:r>
      <w:r w:rsidR="00F41E5C">
        <w:rPr>
          <w:rFonts w:ascii="Arial" w:hAnsi="Arial" w:cs="Arial"/>
          <w:szCs w:val="24"/>
        </w:rPr>
        <w:t xml:space="preserve">and this is reported through the Inter-Ministerial Committee </w:t>
      </w:r>
      <w:r w:rsidR="0006246C">
        <w:rPr>
          <w:rFonts w:ascii="Arial" w:hAnsi="Arial" w:cs="Arial"/>
          <w:szCs w:val="24"/>
        </w:rPr>
        <w:t xml:space="preserve">(IMC: Migration) </w:t>
      </w:r>
      <w:r w:rsidR="00F41E5C">
        <w:rPr>
          <w:rFonts w:ascii="Arial" w:hAnsi="Arial" w:cs="Arial"/>
          <w:szCs w:val="24"/>
        </w:rPr>
        <w:t>dealing with Migration issues..</w:t>
      </w:r>
    </w:p>
    <w:p w:rsidR="00F41E5C" w:rsidRPr="00970649" w:rsidRDefault="00F41E5C" w:rsidP="00F41E5C">
      <w:pPr>
        <w:pStyle w:val="BodyTextIndent2"/>
        <w:tabs>
          <w:tab w:val="left" w:pos="720"/>
        </w:tabs>
        <w:jc w:val="both"/>
        <w:rPr>
          <w:rFonts w:ascii="Arial" w:hAnsi="Arial" w:cs="Arial"/>
          <w:b/>
          <w:szCs w:val="24"/>
          <w:lang w:val="en-ZA"/>
        </w:rPr>
      </w:pPr>
    </w:p>
    <w:p w:rsidR="0069796C" w:rsidRPr="00AC7F3D" w:rsidRDefault="0069796C" w:rsidP="00970649">
      <w:pPr>
        <w:numPr>
          <w:ilvl w:val="0"/>
          <w:numId w:val="9"/>
        </w:numPr>
        <w:rPr>
          <w:rFonts w:ascii="Arial" w:hAnsi="Arial" w:cs="Arial"/>
          <w:b/>
          <w:color w:val="000000"/>
          <w:sz w:val="24"/>
          <w:szCs w:val="24"/>
        </w:rPr>
      </w:pPr>
      <w:r w:rsidRPr="00AC7F3D">
        <w:rPr>
          <w:rFonts w:ascii="Arial" w:hAnsi="Arial" w:cs="Arial"/>
          <w:b/>
          <w:iCs/>
          <w:color w:val="000000"/>
          <w:sz w:val="24"/>
          <w:szCs w:val="24"/>
        </w:rPr>
        <w:t>2008 incidents</w:t>
      </w:r>
      <w:r w:rsidRPr="00AC7F3D">
        <w:rPr>
          <w:rFonts w:ascii="Arial" w:hAnsi="Arial" w:cs="Arial"/>
          <w:b/>
          <w:color w:val="000000"/>
          <w:sz w:val="24"/>
          <w:szCs w:val="24"/>
        </w:rPr>
        <w:t>:</w:t>
      </w:r>
    </w:p>
    <w:p w:rsidR="00B01C93" w:rsidRDefault="0069796C" w:rsidP="00003B61">
      <w:pPr>
        <w:spacing w:line="360" w:lineRule="auto"/>
        <w:ind w:left="1135"/>
        <w:jc w:val="both"/>
        <w:rPr>
          <w:rFonts w:ascii="Arial" w:hAnsi="Arial" w:cs="Arial"/>
          <w:color w:val="000000"/>
          <w:sz w:val="24"/>
          <w:szCs w:val="24"/>
        </w:rPr>
      </w:pPr>
      <w:r w:rsidRPr="00AC7F3D">
        <w:rPr>
          <w:rFonts w:ascii="Arial" w:hAnsi="Arial" w:cs="Arial"/>
          <w:color w:val="000000"/>
          <w:sz w:val="24"/>
          <w:szCs w:val="24"/>
        </w:rPr>
        <w:t>With regard to the 2008 incidents relat</w:t>
      </w:r>
      <w:r w:rsidR="00003B61" w:rsidRPr="00AC7F3D">
        <w:rPr>
          <w:rFonts w:ascii="Arial" w:hAnsi="Arial" w:cs="Arial"/>
          <w:color w:val="000000"/>
          <w:sz w:val="24"/>
          <w:szCs w:val="24"/>
        </w:rPr>
        <w:t xml:space="preserve">ing </w:t>
      </w:r>
      <w:r w:rsidRPr="00AC7F3D">
        <w:rPr>
          <w:rFonts w:ascii="Arial" w:hAnsi="Arial" w:cs="Arial"/>
          <w:color w:val="000000"/>
          <w:sz w:val="24"/>
          <w:szCs w:val="24"/>
        </w:rPr>
        <w:t>to for</w:t>
      </w:r>
      <w:r w:rsidR="00003B61" w:rsidRPr="00AC7F3D">
        <w:rPr>
          <w:rFonts w:ascii="Arial" w:hAnsi="Arial" w:cs="Arial"/>
          <w:color w:val="000000"/>
          <w:sz w:val="24"/>
          <w:szCs w:val="24"/>
        </w:rPr>
        <w:t xml:space="preserve">eign </w:t>
      </w:r>
      <w:r w:rsidRPr="00AC7F3D">
        <w:rPr>
          <w:rFonts w:ascii="Arial" w:hAnsi="Arial" w:cs="Arial"/>
          <w:color w:val="000000"/>
          <w:sz w:val="24"/>
          <w:szCs w:val="24"/>
        </w:rPr>
        <w:t>nationals</w:t>
      </w:r>
      <w:r w:rsidR="008F3A61" w:rsidRPr="00AC7F3D">
        <w:rPr>
          <w:rFonts w:ascii="Arial" w:hAnsi="Arial" w:cs="Arial"/>
          <w:color w:val="000000"/>
          <w:sz w:val="24"/>
          <w:szCs w:val="24"/>
        </w:rPr>
        <w:t>,</w:t>
      </w:r>
      <w:r w:rsidRPr="00AC7F3D">
        <w:rPr>
          <w:rFonts w:ascii="Arial" w:hAnsi="Arial" w:cs="Arial"/>
          <w:color w:val="000000"/>
          <w:sz w:val="24"/>
          <w:szCs w:val="24"/>
        </w:rPr>
        <w:t xml:space="preserve"> </w:t>
      </w:r>
      <w:r w:rsidR="008F3A61" w:rsidRPr="00AC7F3D">
        <w:rPr>
          <w:rFonts w:ascii="Arial" w:hAnsi="Arial" w:cs="Arial"/>
          <w:color w:val="000000"/>
          <w:sz w:val="24"/>
          <w:szCs w:val="24"/>
        </w:rPr>
        <w:t xml:space="preserve">the department </w:t>
      </w:r>
      <w:r w:rsidR="00FC395F" w:rsidRPr="00AC7F3D">
        <w:rPr>
          <w:rFonts w:ascii="Arial" w:hAnsi="Arial" w:cs="Arial"/>
          <w:color w:val="000000"/>
          <w:sz w:val="24"/>
          <w:szCs w:val="24"/>
        </w:rPr>
        <w:t xml:space="preserve">recorded that arrests led to </w:t>
      </w:r>
      <w:r w:rsidRPr="00AC7F3D">
        <w:rPr>
          <w:rFonts w:ascii="Arial" w:hAnsi="Arial" w:cs="Arial"/>
          <w:color w:val="000000"/>
          <w:sz w:val="24"/>
          <w:szCs w:val="24"/>
          <w:lang w:val="en-GB"/>
        </w:rPr>
        <w:t xml:space="preserve">597 </w:t>
      </w:r>
      <w:r w:rsidR="008F3A61" w:rsidRPr="00AC7F3D">
        <w:rPr>
          <w:rFonts w:ascii="Arial" w:hAnsi="Arial" w:cs="Arial"/>
          <w:color w:val="000000"/>
          <w:sz w:val="24"/>
          <w:szCs w:val="24"/>
          <w:lang w:val="en-GB"/>
        </w:rPr>
        <w:t xml:space="preserve">such </w:t>
      </w:r>
      <w:r w:rsidRPr="00AC7F3D">
        <w:rPr>
          <w:rFonts w:ascii="Arial" w:hAnsi="Arial" w:cs="Arial"/>
          <w:color w:val="000000"/>
          <w:sz w:val="24"/>
          <w:szCs w:val="24"/>
          <w:lang w:val="en-GB"/>
        </w:rPr>
        <w:t xml:space="preserve">cases </w:t>
      </w:r>
      <w:r w:rsidR="00FC395F" w:rsidRPr="00AC7F3D">
        <w:rPr>
          <w:rFonts w:ascii="Arial" w:hAnsi="Arial" w:cs="Arial"/>
          <w:color w:val="000000"/>
          <w:sz w:val="24"/>
          <w:szCs w:val="24"/>
          <w:lang w:val="en-GB"/>
        </w:rPr>
        <w:t>going to court from</w:t>
      </w:r>
      <w:r w:rsidRPr="00AC7F3D">
        <w:rPr>
          <w:rFonts w:ascii="Arial" w:hAnsi="Arial" w:cs="Arial"/>
          <w:color w:val="000000"/>
          <w:sz w:val="24"/>
          <w:szCs w:val="24"/>
          <w:lang w:val="en-GB"/>
        </w:rPr>
        <w:t xml:space="preserve"> May 2008</w:t>
      </w:r>
      <w:r w:rsidR="00FC395F" w:rsidRPr="00AC7F3D">
        <w:rPr>
          <w:rFonts w:ascii="Arial" w:hAnsi="Arial" w:cs="Arial"/>
          <w:color w:val="000000"/>
          <w:sz w:val="24"/>
          <w:szCs w:val="24"/>
          <w:lang w:val="en-GB"/>
        </w:rPr>
        <w:t xml:space="preserve">.  </w:t>
      </w:r>
      <w:r w:rsidR="00B26118" w:rsidRPr="00AC7F3D">
        <w:rPr>
          <w:rFonts w:ascii="Arial" w:hAnsi="Arial" w:cs="Arial"/>
          <w:color w:val="000000"/>
          <w:sz w:val="24"/>
          <w:szCs w:val="24"/>
          <w:lang w:val="en-GB"/>
        </w:rPr>
        <w:t>To monitor what happened to these cases</w:t>
      </w:r>
      <w:r w:rsidR="00AE0295">
        <w:rPr>
          <w:rFonts w:ascii="Arial" w:hAnsi="Arial" w:cs="Arial"/>
          <w:color w:val="000000"/>
          <w:sz w:val="24"/>
          <w:szCs w:val="24"/>
          <w:lang w:val="en-GB"/>
        </w:rPr>
        <w:t>,</w:t>
      </w:r>
      <w:r w:rsidR="00B26118" w:rsidRPr="00AC7F3D">
        <w:rPr>
          <w:rFonts w:ascii="Arial" w:hAnsi="Arial" w:cs="Arial"/>
          <w:color w:val="000000"/>
          <w:sz w:val="24"/>
          <w:szCs w:val="24"/>
          <w:lang w:val="en-GB"/>
        </w:rPr>
        <w:t xml:space="preserve"> an investigation at the </w:t>
      </w:r>
      <w:r w:rsidR="00003B61" w:rsidRPr="00003B61">
        <w:rPr>
          <w:rFonts w:ascii="Arial" w:hAnsi="Arial" w:cs="Arial"/>
          <w:color w:val="000000"/>
          <w:sz w:val="24"/>
          <w:szCs w:val="24"/>
          <w:lang w:val="en-GB"/>
        </w:rPr>
        <w:t>end of October 2009,</w:t>
      </w:r>
      <w:r w:rsidR="00003B61">
        <w:rPr>
          <w:rFonts w:ascii="Arial" w:hAnsi="Arial" w:cs="Arial"/>
          <w:color w:val="000000"/>
          <w:sz w:val="24"/>
          <w:szCs w:val="24"/>
          <w:lang w:val="en-GB"/>
        </w:rPr>
        <w:t xml:space="preserve"> </w:t>
      </w:r>
      <w:r w:rsidR="00B26118">
        <w:rPr>
          <w:rFonts w:ascii="Arial" w:hAnsi="Arial" w:cs="Arial"/>
          <w:color w:val="000000"/>
          <w:sz w:val="24"/>
          <w:szCs w:val="24"/>
          <w:lang w:val="en-GB"/>
        </w:rPr>
        <w:t xml:space="preserve">revealed that </w:t>
      </w:r>
      <w:r w:rsidR="00003B61">
        <w:rPr>
          <w:rFonts w:ascii="Arial" w:hAnsi="Arial" w:cs="Arial"/>
          <w:color w:val="000000"/>
          <w:sz w:val="24"/>
          <w:szCs w:val="24"/>
          <w:lang w:val="en-GB"/>
        </w:rPr>
        <w:t xml:space="preserve">218 </w:t>
      </w:r>
      <w:r w:rsidR="00242EE4">
        <w:rPr>
          <w:rFonts w:ascii="Arial" w:hAnsi="Arial" w:cs="Arial"/>
          <w:color w:val="000000"/>
          <w:sz w:val="24"/>
          <w:szCs w:val="24"/>
          <w:lang w:val="en-GB"/>
        </w:rPr>
        <w:t xml:space="preserve">of these </w:t>
      </w:r>
      <w:r w:rsidR="00003B61">
        <w:rPr>
          <w:rFonts w:ascii="Arial" w:hAnsi="Arial" w:cs="Arial"/>
          <w:color w:val="000000"/>
          <w:sz w:val="24"/>
          <w:szCs w:val="24"/>
          <w:lang w:val="en-GB"/>
        </w:rPr>
        <w:t>cases were withdrawn</w:t>
      </w:r>
      <w:r w:rsidR="00242EE4">
        <w:rPr>
          <w:rFonts w:ascii="Arial" w:hAnsi="Arial" w:cs="Arial"/>
          <w:color w:val="000000"/>
          <w:sz w:val="24"/>
          <w:szCs w:val="24"/>
          <w:lang w:val="en-GB"/>
        </w:rPr>
        <w:t xml:space="preserve"> (for various reasons, but in many instances because </w:t>
      </w:r>
      <w:r w:rsidR="00242EE4" w:rsidRPr="00242EE4">
        <w:rPr>
          <w:rFonts w:ascii="Arial" w:hAnsi="Arial" w:cs="Arial"/>
          <w:color w:val="000000"/>
          <w:sz w:val="24"/>
          <w:szCs w:val="24"/>
          <w:lang w:val="en-GB"/>
        </w:rPr>
        <w:t>the witnesses became missing or l</w:t>
      </w:r>
      <w:r w:rsidR="00242EE4">
        <w:rPr>
          <w:rFonts w:ascii="Arial" w:hAnsi="Arial" w:cs="Arial"/>
          <w:color w:val="000000"/>
          <w:sz w:val="24"/>
          <w:szCs w:val="24"/>
          <w:lang w:val="en-GB"/>
        </w:rPr>
        <w:t>eft the country)</w:t>
      </w:r>
      <w:r w:rsidR="00003B61">
        <w:rPr>
          <w:rFonts w:ascii="Arial" w:hAnsi="Arial" w:cs="Arial"/>
          <w:color w:val="000000"/>
          <w:sz w:val="24"/>
          <w:szCs w:val="24"/>
          <w:lang w:val="en-GB"/>
        </w:rPr>
        <w:t xml:space="preserve">, </w:t>
      </w:r>
      <w:r w:rsidR="00B26118" w:rsidRPr="00B26118">
        <w:rPr>
          <w:rFonts w:ascii="Arial" w:hAnsi="Arial" w:cs="Arial"/>
          <w:b/>
          <w:color w:val="000000"/>
          <w:sz w:val="24"/>
          <w:szCs w:val="24"/>
          <w:lang w:val="en-GB"/>
        </w:rPr>
        <w:t>159 of these cases were finalised with a verdict (98 guilty, 61 not guilty)</w:t>
      </w:r>
      <w:r w:rsidR="00B26118">
        <w:rPr>
          <w:rFonts w:ascii="Arial" w:hAnsi="Arial" w:cs="Arial"/>
          <w:color w:val="000000"/>
          <w:sz w:val="24"/>
          <w:szCs w:val="24"/>
          <w:lang w:val="en-GB"/>
        </w:rPr>
        <w:t xml:space="preserve">, 9 cases were still partly-heard, </w:t>
      </w:r>
      <w:r w:rsidR="00242EE4">
        <w:rPr>
          <w:rFonts w:ascii="Arial" w:hAnsi="Arial" w:cs="Arial"/>
          <w:color w:val="000000"/>
          <w:sz w:val="24"/>
          <w:szCs w:val="24"/>
          <w:lang w:val="en-GB"/>
        </w:rPr>
        <w:t xml:space="preserve">75 cases were still to be </w:t>
      </w:r>
      <w:r w:rsidR="00B26118">
        <w:rPr>
          <w:rFonts w:ascii="Arial" w:hAnsi="Arial" w:cs="Arial"/>
          <w:color w:val="000000"/>
          <w:sz w:val="24"/>
          <w:szCs w:val="24"/>
          <w:lang w:val="en-GB"/>
        </w:rPr>
        <w:t>tried and in 77 cases</w:t>
      </w:r>
      <w:r w:rsidR="00AE0295">
        <w:rPr>
          <w:rFonts w:ascii="Arial" w:hAnsi="Arial" w:cs="Arial"/>
          <w:color w:val="000000"/>
          <w:sz w:val="24"/>
          <w:szCs w:val="24"/>
          <w:lang w:val="en-GB"/>
        </w:rPr>
        <w:t>,</w:t>
      </w:r>
      <w:r w:rsidR="00B26118">
        <w:rPr>
          <w:rFonts w:ascii="Arial" w:hAnsi="Arial" w:cs="Arial"/>
          <w:color w:val="000000"/>
          <w:sz w:val="24"/>
          <w:szCs w:val="24"/>
          <w:lang w:val="en-GB"/>
        </w:rPr>
        <w:t xml:space="preserve"> further investigation was still being finalised</w:t>
      </w:r>
      <w:r w:rsidR="00F150F0">
        <w:rPr>
          <w:rFonts w:ascii="Arial" w:hAnsi="Arial" w:cs="Arial"/>
          <w:color w:val="000000"/>
          <w:sz w:val="24"/>
          <w:szCs w:val="24"/>
          <w:lang w:val="en-GB"/>
        </w:rPr>
        <w:t>, whilst 27 warrants of arrest were also issued</w:t>
      </w:r>
      <w:r w:rsidR="00003B61" w:rsidRPr="00003B61">
        <w:rPr>
          <w:rFonts w:ascii="Arial" w:hAnsi="Arial" w:cs="Arial"/>
          <w:color w:val="000000"/>
          <w:sz w:val="24"/>
          <w:szCs w:val="24"/>
          <w:lang w:val="en-GB"/>
        </w:rPr>
        <w:t>.</w:t>
      </w:r>
      <w:r w:rsidR="00003B61">
        <w:rPr>
          <w:rFonts w:ascii="Arial" w:hAnsi="Arial" w:cs="Arial"/>
          <w:color w:val="000000"/>
          <w:sz w:val="24"/>
          <w:szCs w:val="24"/>
          <w:lang w:val="en-GB"/>
        </w:rPr>
        <w:t xml:space="preserve"> </w:t>
      </w:r>
      <w:r w:rsidR="00B01C93" w:rsidRPr="00AC7F3D">
        <w:rPr>
          <w:rFonts w:ascii="Arial" w:hAnsi="Arial" w:cs="Arial"/>
          <w:color w:val="000000"/>
          <w:sz w:val="24"/>
          <w:szCs w:val="24"/>
        </w:rPr>
        <w:t xml:space="preserve"> </w:t>
      </w:r>
      <w:r w:rsidR="00003B61" w:rsidRPr="00AC7F3D">
        <w:rPr>
          <w:rFonts w:ascii="Arial" w:hAnsi="Arial" w:cs="Arial"/>
          <w:color w:val="000000"/>
          <w:sz w:val="24"/>
          <w:szCs w:val="24"/>
        </w:rPr>
        <w:t xml:space="preserve">These matters were part of the normal court rolls at that stage and no further specific monitoring </w:t>
      </w:r>
      <w:r w:rsidR="00AE0295">
        <w:rPr>
          <w:rFonts w:ascii="Arial" w:hAnsi="Arial" w:cs="Arial"/>
          <w:color w:val="000000"/>
          <w:sz w:val="24"/>
          <w:szCs w:val="24"/>
        </w:rPr>
        <w:t>records were</w:t>
      </w:r>
      <w:r w:rsidR="00003B61" w:rsidRPr="00AC7F3D">
        <w:rPr>
          <w:rFonts w:ascii="Arial" w:hAnsi="Arial" w:cs="Arial"/>
          <w:color w:val="000000"/>
          <w:sz w:val="24"/>
          <w:szCs w:val="24"/>
        </w:rPr>
        <w:t xml:space="preserve"> kept</w:t>
      </w:r>
      <w:r w:rsidR="00242EE4" w:rsidRPr="00AC7F3D">
        <w:rPr>
          <w:rFonts w:ascii="Arial" w:hAnsi="Arial" w:cs="Arial"/>
          <w:color w:val="000000"/>
          <w:sz w:val="24"/>
          <w:szCs w:val="24"/>
        </w:rPr>
        <w:t xml:space="preserve"> in relation to these matters</w:t>
      </w:r>
      <w:r w:rsidR="00003B61" w:rsidRPr="00AC7F3D">
        <w:rPr>
          <w:rFonts w:ascii="Arial" w:hAnsi="Arial" w:cs="Arial"/>
          <w:color w:val="000000"/>
          <w:sz w:val="24"/>
          <w:szCs w:val="24"/>
        </w:rPr>
        <w:t>.</w:t>
      </w:r>
    </w:p>
    <w:p w:rsidR="00320AD1" w:rsidRDefault="00320AD1" w:rsidP="00003B61">
      <w:pPr>
        <w:spacing w:line="360" w:lineRule="auto"/>
        <w:ind w:left="1135"/>
        <w:jc w:val="both"/>
        <w:rPr>
          <w:rFonts w:ascii="Arial" w:hAnsi="Arial" w:cs="Arial"/>
          <w:color w:val="000000"/>
          <w:sz w:val="24"/>
          <w:szCs w:val="24"/>
        </w:rPr>
      </w:pPr>
    </w:p>
    <w:p w:rsidR="00320AD1" w:rsidRPr="00AC7F3D" w:rsidRDefault="00320AD1" w:rsidP="00003B61">
      <w:pPr>
        <w:spacing w:line="360" w:lineRule="auto"/>
        <w:ind w:left="1135"/>
        <w:jc w:val="both"/>
        <w:rPr>
          <w:rFonts w:ascii="Arial" w:hAnsi="Arial" w:cs="Arial"/>
          <w:color w:val="000000"/>
          <w:sz w:val="24"/>
          <w:szCs w:val="24"/>
          <w:lang w:val="en-GB"/>
        </w:rPr>
      </w:pPr>
    </w:p>
    <w:p w:rsidR="0069796C" w:rsidRPr="00AC7F3D" w:rsidRDefault="00AE0295" w:rsidP="00003B61">
      <w:pPr>
        <w:numPr>
          <w:ilvl w:val="0"/>
          <w:numId w:val="9"/>
        </w:numPr>
        <w:spacing w:line="360" w:lineRule="auto"/>
        <w:jc w:val="both"/>
        <w:rPr>
          <w:rFonts w:ascii="Arial" w:hAnsi="Arial" w:cs="Arial"/>
          <w:b/>
          <w:iCs/>
          <w:color w:val="000000"/>
          <w:sz w:val="24"/>
          <w:szCs w:val="24"/>
        </w:rPr>
      </w:pPr>
      <w:r>
        <w:rPr>
          <w:rFonts w:ascii="Arial" w:hAnsi="Arial" w:cs="Arial"/>
          <w:b/>
          <w:iCs/>
          <w:color w:val="000000"/>
          <w:sz w:val="24"/>
          <w:szCs w:val="24"/>
        </w:rPr>
        <w:t xml:space="preserve"> </w:t>
      </w:r>
      <w:r w:rsidR="0069796C" w:rsidRPr="00AC7F3D">
        <w:rPr>
          <w:rFonts w:ascii="Arial" w:hAnsi="Arial" w:cs="Arial"/>
          <w:b/>
          <w:iCs/>
          <w:color w:val="000000"/>
          <w:sz w:val="24"/>
          <w:szCs w:val="24"/>
        </w:rPr>
        <w:t>2015 incidents:</w:t>
      </w:r>
    </w:p>
    <w:p w:rsidR="008F3A61" w:rsidRPr="00AC7F3D" w:rsidRDefault="0069796C" w:rsidP="00003B61">
      <w:pPr>
        <w:spacing w:line="360" w:lineRule="auto"/>
        <w:ind w:left="1135"/>
        <w:jc w:val="both"/>
        <w:rPr>
          <w:rFonts w:ascii="Arial" w:hAnsi="Arial" w:cs="Arial"/>
          <w:color w:val="000000"/>
          <w:sz w:val="24"/>
          <w:szCs w:val="24"/>
        </w:rPr>
      </w:pPr>
      <w:r w:rsidRPr="00AC7F3D">
        <w:rPr>
          <w:rFonts w:ascii="Arial" w:hAnsi="Arial" w:cs="Arial"/>
          <w:color w:val="000000"/>
          <w:sz w:val="24"/>
          <w:szCs w:val="24"/>
        </w:rPr>
        <w:t>According to an IMC press release in May 2015</w:t>
      </w:r>
      <w:r w:rsidR="00AB7934">
        <w:rPr>
          <w:rFonts w:ascii="Arial" w:hAnsi="Arial" w:cs="Arial"/>
          <w:color w:val="000000"/>
          <w:sz w:val="24"/>
          <w:szCs w:val="24"/>
        </w:rPr>
        <w:t>,</w:t>
      </w:r>
      <w:r w:rsidRPr="00AC7F3D">
        <w:rPr>
          <w:rFonts w:ascii="Arial" w:hAnsi="Arial" w:cs="Arial"/>
          <w:color w:val="000000"/>
          <w:sz w:val="24"/>
          <w:szCs w:val="24"/>
        </w:rPr>
        <w:t xml:space="preserve"> </w:t>
      </w:r>
      <w:r w:rsidR="00B01C93" w:rsidRPr="00AC7F3D">
        <w:rPr>
          <w:rFonts w:ascii="Arial" w:hAnsi="Arial" w:cs="Arial"/>
          <w:color w:val="000000"/>
          <w:sz w:val="24"/>
          <w:szCs w:val="24"/>
        </w:rPr>
        <w:t xml:space="preserve">it was </w:t>
      </w:r>
      <w:r w:rsidRPr="00AC7F3D">
        <w:rPr>
          <w:rFonts w:ascii="Arial" w:hAnsi="Arial" w:cs="Arial"/>
          <w:color w:val="000000"/>
          <w:sz w:val="24"/>
          <w:szCs w:val="24"/>
        </w:rPr>
        <w:t xml:space="preserve">indicated </w:t>
      </w:r>
      <w:r w:rsidR="00B01C93" w:rsidRPr="00AC7F3D">
        <w:rPr>
          <w:rFonts w:ascii="Arial" w:hAnsi="Arial" w:cs="Arial"/>
          <w:color w:val="000000"/>
          <w:sz w:val="24"/>
          <w:szCs w:val="24"/>
        </w:rPr>
        <w:t xml:space="preserve">that </w:t>
      </w:r>
      <w:r w:rsidRPr="00AC7F3D">
        <w:rPr>
          <w:rFonts w:ascii="Arial" w:hAnsi="Arial" w:cs="Arial"/>
          <w:color w:val="000000"/>
          <w:sz w:val="24"/>
          <w:szCs w:val="24"/>
        </w:rPr>
        <w:t xml:space="preserve">there were </w:t>
      </w:r>
      <w:r w:rsidR="00CB0D56">
        <w:rPr>
          <w:rFonts w:ascii="Arial" w:hAnsi="Arial" w:cs="Arial"/>
          <w:color w:val="000000"/>
          <w:sz w:val="24"/>
          <w:szCs w:val="24"/>
        </w:rPr>
        <w:t>eighty-seven (</w:t>
      </w:r>
      <w:r w:rsidRPr="00AC7F3D">
        <w:rPr>
          <w:rFonts w:ascii="Arial" w:hAnsi="Arial" w:cs="Arial"/>
          <w:color w:val="000000"/>
          <w:sz w:val="24"/>
          <w:szCs w:val="24"/>
        </w:rPr>
        <w:t>87</w:t>
      </w:r>
      <w:r w:rsidR="00CB0D56">
        <w:rPr>
          <w:rFonts w:ascii="Arial" w:hAnsi="Arial" w:cs="Arial"/>
          <w:color w:val="000000"/>
          <w:sz w:val="24"/>
          <w:szCs w:val="24"/>
        </w:rPr>
        <w:t>)</w:t>
      </w:r>
      <w:r w:rsidRPr="00AC7F3D">
        <w:rPr>
          <w:rFonts w:ascii="Arial" w:hAnsi="Arial" w:cs="Arial"/>
          <w:color w:val="000000"/>
          <w:sz w:val="24"/>
          <w:szCs w:val="24"/>
        </w:rPr>
        <w:t xml:space="preserve"> cases, </w:t>
      </w:r>
      <w:r w:rsidR="00AB7934">
        <w:rPr>
          <w:rFonts w:ascii="Arial" w:hAnsi="Arial" w:cs="Arial"/>
          <w:color w:val="000000"/>
          <w:sz w:val="24"/>
          <w:szCs w:val="24"/>
        </w:rPr>
        <w:t>eighty-three (</w:t>
      </w:r>
      <w:r w:rsidRPr="00AC7F3D">
        <w:rPr>
          <w:rFonts w:ascii="Arial" w:hAnsi="Arial" w:cs="Arial"/>
          <w:color w:val="000000"/>
          <w:sz w:val="24"/>
          <w:szCs w:val="24"/>
        </w:rPr>
        <w:t>83</w:t>
      </w:r>
      <w:r w:rsidR="00AB7934">
        <w:rPr>
          <w:rFonts w:ascii="Arial" w:hAnsi="Arial" w:cs="Arial"/>
          <w:color w:val="000000"/>
          <w:sz w:val="24"/>
          <w:szCs w:val="24"/>
        </w:rPr>
        <w:t>)</w:t>
      </w:r>
      <w:r w:rsidRPr="00AC7F3D">
        <w:rPr>
          <w:rFonts w:ascii="Arial" w:hAnsi="Arial" w:cs="Arial"/>
          <w:color w:val="000000"/>
          <w:sz w:val="24"/>
          <w:szCs w:val="24"/>
        </w:rPr>
        <w:t xml:space="preserve"> of which were postponed for further investigation and four </w:t>
      </w:r>
      <w:r w:rsidR="00AB7934">
        <w:rPr>
          <w:rFonts w:ascii="Arial" w:hAnsi="Arial" w:cs="Arial"/>
          <w:color w:val="000000"/>
          <w:sz w:val="24"/>
          <w:szCs w:val="24"/>
        </w:rPr>
        <w:t xml:space="preserve">(4) </w:t>
      </w:r>
      <w:r w:rsidR="00B01C93" w:rsidRPr="00AC7F3D">
        <w:rPr>
          <w:rFonts w:ascii="Arial" w:hAnsi="Arial" w:cs="Arial"/>
          <w:color w:val="000000"/>
          <w:sz w:val="24"/>
          <w:szCs w:val="24"/>
        </w:rPr>
        <w:t xml:space="preserve">that </w:t>
      </w:r>
      <w:r w:rsidRPr="00AC7F3D">
        <w:rPr>
          <w:rFonts w:ascii="Arial" w:hAnsi="Arial" w:cs="Arial"/>
          <w:color w:val="000000"/>
          <w:sz w:val="24"/>
          <w:szCs w:val="24"/>
        </w:rPr>
        <w:t xml:space="preserve">had been </w:t>
      </w:r>
      <w:r w:rsidR="007B5B61" w:rsidRPr="00AC7F3D">
        <w:rPr>
          <w:rFonts w:ascii="Arial" w:hAnsi="Arial" w:cs="Arial"/>
          <w:color w:val="000000"/>
          <w:sz w:val="24"/>
          <w:szCs w:val="24"/>
        </w:rPr>
        <w:t>finalized</w:t>
      </w:r>
      <w:r w:rsidRPr="00AC7F3D">
        <w:rPr>
          <w:rFonts w:ascii="Arial" w:hAnsi="Arial" w:cs="Arial"/>
          <w:color w:val="000000"/>
          <w:sz w:val="24"/>
          <w:szCs w:val="24"/>
        </w:rPr>
        <w:t xml:space="preserve">. </w:t>
      </w:r>
      <w:r w:rsidR="008F3A61" w:rsidRPr="00AC7F3D">
        <w:rPr>
          <w:rFonts w:ascii="Arial" w:hAnsi="Arial" w:cs="Arial"/>
          <w:color w:val="000000"/>
          <w:sz w:val="24"/>
          <w:szCs w:val="24"/>
        </w:rPr>
        <w:t>Of this, t</w:t>
      </w:r>
      <w:r w:rsidRPr="00AC7F3D">
        <w:rPr>
          <w:rFonts w:ascii="Arial" w:hAnsi="Arial" w:cs="Arial"/>
          <w:color w:val="000000"/>
          <w:sz w:val="24"/>
          <w:szCs w:val="24"/>
        </w:rPr>
        <w:t xml:space="preserve">hree </w:t>
      </w:r>
      <w:r w:rsidR="008F3A61" w:rsidRPr="00AC7F3D">
        <w:rPr>
          <w:rFonts w:ascii="Arial" w:hAnsi="Arial" w:cs="Arial"/>
          <w:color w:val="000000"/>
          <w:sz w:val="24"/>
          <w:szCs w:val="24"/>
        </w:rPr>
        <w:t xml:space="preserve">cases resulted in </w:t>
      </w:r>
      <w:r w:rsidRPr="00AC7F3D">
        <w:rPr>
          <w:rFonts w:ascii="Arial" w:hAnsi="Arial" w:cs="Arial"/>
          <w:color w:val="000000"/>
          <w:sz w:val="24"/>
          <w:szCs w:val="24"/>
        </w:rPr>
        <w:t xml:space="preserve">convictions and one </w:t>
      </w:r>
      <w:r w:rsidR="008F3A61" w:rsidRPr="00AC7F3D">
        <w:rPr>
          <w:rFonts w:ascii="Arial" w:hAnsi="Arial" w:cs="Arial"/>
          <w:color w:val="000000"/>
          <w:sz w:val="24"/>
          <w:szCs w:val="24"/>
        </w:rPr>
        <w:t xml:space="preserve">case was </w:t>
      </w:r>
      <w:r w:rsidR="007B5B61" w:rsidRPr="00AC7F3D">
        <w:rPr>
          <w:rFonts w:ascii="Arial" w:hAnsi="Arial" w:cs="Arial"/>
          <w:color w:val="000000"/>
          <w:sz w:val="24"/>
          <w:szCs w:val="24"/>
        </w:rPr>
        <w:t>finalized</w:t>
      </w:r>
      <w:r w:rsidRPr="00AC7F3D">
        <w:rPr>
          <w:rFonts w:ascii="Arial" w:hAnsi="Arial" w:cs="Arial"/>
          <w:color w:val="000000"/>
          <w:sz w:val="24"/>
          <w:szCs w:val="24"/>
        </w:rPr>
        <w:t xml:space="preserve"> through A</w:t>
      </w:r>
      <w:r w:rsidR="00AB7934">
        <w:rPr>
          <w:rFonts w:ascii="Arial" w:hAnsi="Arial" w:cs="Arial"/>
          <w:color w:val="000000"/>
          <w:sz w:val="24"/>
          <w:szCs w:val="24"/>
        </w:rPr>
        <w:t xml:space="preserve">lternative </w:t>
      </w:r>
      <w:r w:rsidRPr="00AC7F3D">
        <w:rPr>
          <w:rFonts w:ascii="Arial" w:hAnsi="Arial" w:cs="Arial"/>
          <w:color w:val="000000"/>
          <w:sz w:val="24"/>
          <w:szCs w:val="24"/>
        </w:rPr>
        <w:t>D</w:t>
      </w:r>
      <w:r w:rsidR="00AB7934">
        <w:rPr>
          <w:rFonts w:ascii="Arial" w:hAnsi="Arial" w:cs="Arial"/>
          <w:color w:val="000000"/>
          <w:sz w:val="24"/>
          <w:szCs w:val="24"/>
        </w:rPr>
        <w:t xml:space="preserve">ispute </w:t>
      </w:r>
      <w:r w:rsidRPr="00AC7F3D">
        <w:rPr>
          <w:rFonts w:ascii="Arial" w:hAnsi="Arial" w:cs="Arial"/>
          <w:color w:val="000000"/>
          <w:sz w:val="24"/>
          <w:szCs w:val="24"/>
        </w:rPr>
        <w:t>R</w:t>
      </w:r>
      <w:r w:rsidR="00AB7934">
        <w:rPr>
          <w:rFonts w:ascii="Arial" w:hAnsi="Arial" w:cs="Arial"/>
          <w:color w:val="000000"/>
          <w:sz w:val="24"/>
          <w:szCs w:val="24"/>
        </w:rPr>
        <w:t xml:space="preserve">esolution </w:t>
      </w:r>
      <w:r w:rsidRPr="00AC7F3D">
        <w:rPr>
          <w:rFonts w:ascii="Arial" w:hAnsi="Arial" w:cs="Arial"/>
          <w:color w:val="000000"/>
          <w:sz w:val="24"/>
          <w:szCs w:val="24"/>
        </w:rPr>
        <w:t>M</w:t>
      </w:r>
      <w:r w:rsidR="00AB7934">
        <w:rPr>
          <w:rFonts w:ascii="Arial" w:hAnsi="Arial" w:cs="Arial"/>
          <w:color w:val="000000"/>
          <w:sz w:val="24"/>
          <w:szCs w:val="24"/>
        </w:rPr>
        <w:t>echanism</w:t>
      </w:r>
      <w:r w:rsidR="008F3A61" w:rsidRPr="00AC7F3D">
        <w:rPr>
          <w:rFonts w:ascii="Arial" w:hAnsi="Arial" w:cs="Arial"/>
          <w:color w:val="000000"/>
          <w:sz w:val="24"/>
          <w:szCs w:val="24"/>
        </w:rPr>
        <w:t xml:space="preserve"> (mediation)</w:t>
      </w:r>
      <w:r w:rsidRPr="00AC7F3D">
        <w:rPr>
          <w:rFonts w:ascii="Arial" w:hAnsi="Arial" w:cs="Arial"/>
          <w:color w:val="000000"/>
          <w:sz w:val="24"/>
          <w:szCs w:val="24"/>
        </w:rPr>
        <w:t xml:space="preserve">. </w:t>
      </w:r>
    </w:p>
    <w:p w:rsidR="008F3A61" w:rsidRDefault="008F3A61" w:rsidP="00003B61">
      <w:pPr>
        <w:spacing w:line="360" w:lineRule="auto"/>
        <w:ind w:left="1135"/>
        <w:jc w:val="both"/>
        <w:rPr>
          <w:rFonts w:ascii="Arial" w:hAnsi="Arial" w:cs="Arial"/>
          <w:color w:val="000000"/>
          <w:sz w:val="24"/>
          <w:szCs w:val="24"/>
        </w:rPr>
      </w:pPr>
      <w:r w:rsidRPr="008F3A61">
        <w:rPr>
          <w:rFonts w:ascii="Arial" w:hAnsi="Arial" w:cs="Arial"/>
          <w:color w:val="000000"/>
          <w:sz w:val="24"/>
          <w:szCs w:val="24"/>
        </w:rPr>
        <w:t>As at the end of July 2015</w:t>
      </w:r>
      <w:r w:rsidR="00AB7934">
        <w:rPr>
          <w:rFonts w:ascii="Arial" w:hAnsi="Arial" w:cs="Arial"/>
          <w:color w:val="000000"/>
          <w:sz w:val="24"/>
          <w:szCs w:val="24"/>
        </w:rPr>
        <w:t>,</w:t>
      </w:r>
      <w:r w:rsidRPr="008F3A61">
        <w:rPr>
          <w:rFonts w:ascii="Arial" w:hAnsi="Arial" w:cs="Arial"/>
          <w:color w:val="000000"/>
          <w:sz w:val="24"/>
          <w:szCs w:val="24"/>
        </w:rPr>
        <w:t xml:space="preserve"> the statistics </w:t>
      </w:r>
      <w:r w:rsidR="000309B7">
        <w:rPr>
          <w:rFonts w:ascii="Arial" w:hAnsi="Arial" w:cs="Arial"/>
          <w:color w:val="000000"/>
          <w:sz w:val="24"/>
          <w:szCs w:val="24"/>
        </w:rPr>
        <w:t xml:space="preserve">changed as follows: there were </w:t>
      </w:r>
      <w:r w:rsidRPr="008F3A61">
        <w:rPr>
          <w:rFonts w:ascii="Arial" w:hAnsi="Arial" w:cs="Arial"/>
          <w:color w:val="000000"/>
          <w:sz w:val="24"/>
          <w:szCs w:val="24"/>
        </w:rPr>
        <w:t xml:space="preserve">a total of </w:t>
      </w:r>
      <w:r w:rsidR="00CB0D56">
        <w:rPr>
          <w:rFonts w:ascii="Arial" w:hAnsi="Arial" w:cs="Arial"/>
          <w:color w:val="000000"/>
          <w:sz w:val="24"/>
          <w:szCs w:val="24"/>
        </w:rPr>
        <w:t>a hundred and ten (</w:t>
      </w:r>
      <w:r w:rsidRPr="008F3A61">
        <w:rPr>
          <w:rFonts w:ascii="Arial" w:hAnsi="Arial" w:cs="Arial"/>
          <w:color w:val="000000"/>
          <w:sz w:val="24"/>
          <w:szCs w:val="24"/>
        </w:rPr>
        <w:t>110</w:t>
      </w:r>
      <w:r w:rsidR="00CB0D56">
        <w:rPr>
          <w:rFonts w:ascii="Arial" w:hAnsi="Arial" w:cs="Arial"/>
          <w:color w:val="000000"/>
          <w:sz w:val="24"/>
          <w:szCs w:val="24"/>
        </w:rPr>
        <w:t>)</w:t>
      </w:r>
      <w:r w:rsidRPr="008F3A61">
        <w:rPr>
          <w:rFonts w:ascii="Arial" w:hAnsi="Arial" w:cs="Arial"/>
          <w:color w:val="000000"/>
          <w:sz w:val="24"/>
          <w:szCs w:val="24"/>
        </w:rPr>
        <w:t xml:space="preserve"> such cases, of which </w:t>
      </w:r>
      <w:r w:rsidR="00CB0D56">
        <w:rPr>
          <w:rFonts w:ascii="Arial" w:hAnsi="Arial" w:cs="Arial"/>
          <w:color w:val="000000"/>
          <w:sz w:val="24"/>
          <w:szCs w:val="24"/>
        </w:rPr>
        <w:t>seven (</w:t>
      </w:r>
      <w:r w:rsidRPr="008F3A61">
        <w:rPr>
          <w:rFonts w:ascii="Arial" w:hAnsi="Arial" w:cs="Arial"/>
          <w:color w:val="000000"/>
          <w:sz w:val="24"/>
          <w:szCs w:val="24"/>
        </w:rPr>
        <w:t>7</w:t>
      </w:r>
      <w:r w:rsidR="00CB0D56">
        <w:rPr>
          <w:rFonts w:ascii="Arial" w:hAnsi="Arial" w:cs="Arial"/>
          <w:color w:val="000000"/>
          <w:sz w:val="24"/>
          <w:szCs w:val="24"/>
        </w:rPr>
        <w:t>)</w:t>
      </w:r>
      <w:r w:rsidRPr="008F3A61">
        <w:rPr>
          <w:rFonts w:ascii="Arial" w:hAnsi="Arial" w:cs="Arial"/>
          <w:color w:val="000000"/>
          <w:sz w:val="24"/>
          <w:szCs w:val="24"/>
        </w:rPr>
        <w:t xml:space="preserve"> had been withdrawn or struck off the roll, </w:t>
      </w:r>
      <w:r w:rsidR="00CB0D56">
        <w:rPr>
          <w:rFonts w:ascii="Arial" w:hAnsi="Arial" w:cs="Arial"/>
          <w:color w:val="000000"/>
          <w:sz w:val="24"/>
          <w:szCs w:val="24"/>
        </w:rPr>
        <w:t>six (</w:t>
      </w:r>
      <w:r w:rsidRPr="008F3A61">
        <w:rPr>
          <w:rFonts w:ascii="Arial" w:hAnsi="Arial" w:cs="Arial"/>
          <w:color w:val="000000"/>
          <w:sz w:val="24"/>
          <w:szCs w:val="24"/>
        </w:rPr>
        <w:t>6</w:t>
      </w:r>
      <w:r w:rsidR="00CB0D56">
        <w:rPr>
          <w:rFonts w:ascii="Arial" w:hAnsi="Arial" w:cs="Arial"/>
          <w:color w:val="000000"/>
          <w:sz w:val="24"/>
          <w:szCs w:val="24"/>
        </w:rPr>
        <w:t>)</w:t>
      </w:r>
      <w:r w:rsidRPr="008F3A61">
        <w:rPr>
          <w:rFonts w:ascii="Arial" w:hAnsi="Arial" w:cs="Arial"/>
          <w:color w:val="000000"/>
          <w:sz w:val="24"/>
          <w:szCs w:val="24"/>
        </w:rPr>
        <w:t xml:space="preserve"> had been </w:t>
      </w:r>
      <w:r w:rsidR="007B5B61" w:rsidRPr="008F3A61">
        <w:rPr>
          <w:rFonts w:ascii="Arial" w:hAnsi="Arial" w:cs="Arial"/>
          <w:color w:val="000000"/>
          <w:sz w:val="24"/>
          <w:szCs w:val="24"/>
        </w:rPr>
        <w:t>finalized</w:t>
      </w:r>
      <w:r w:rsidRPr="008F3A61">
        <w:rPr>
          <w:rFonts w:ascii="Arial" w:hAnsi="Arial" w:cs="Arial"/>
          <w:color w:val="000000"/>
          <w:sz w:val="24"/>
          <w:szCs w:val="24"/>
        </w:rPr>
        <w:t xml:space="preserve"> and </w:t>
      </w:r>
      <w:r w:rsidR="00CB0D56">
        <w:rPr>
          <w:rFonts w:ascii="Arial" w:hAnsi="Arial" w:cs="Arial"/>
          <w:color w:val="000000"/>
          <w:sz w:val="24"/>
          <w:szCs w:val="24"/>
        </w:rPr>
        <w:t>ninety-seven (</w:t>
      </w:r>
      <w:r w:rsidRPr="008F3A61">
        <w:rPr>
          <w:rFonts w:ascii="Arial" w:hAnsi="Arial" w:cs="Arial"/>
          <w:color w:val="000000"/>
          <w:sz w:val="24"/>
          <w:szCs w:val="24"/>
        </w:rPr>
        <w:t>97</w:t>
      </w:r>
      <w:r w:rsidR="00CB0D56">
        <w:rPr>
          <w:rFonts w:ascii="Arial" w:hAnsi="Arial" w:cs="Arial"/>
          <w:color w:val="000000"/>
          <w:sz w:val="24"/>
          <w:szCs w:val="24"/>
        </w:rPr>
        <w:t>)</w:t>
      </w:r>
      <w:r w:rsidRPr="008F3A61">
        <w:rPr>
          <w:rFonts w:ascii="Arial" w:hAnsi="Arial" w:cs="Arial"/>
          <w:color w:val="000000"/>
          <w:sz w:val="24"/>
          <w:szCs w:val="24"/>
        </w:rPr>
        <w:t xml:space="preserve"> had not yet been </w:t>
      </w:r>
      <w:r w:rsidR="007B5B61" w:rsidRPr="008F3A61">
        <w:rPr>
          <w:rFonts w:ascii="Arial" w:hAnsi="Arial" w:cs="Arial"/>
          <w:color w:val="000000"/>
          <w:sz w:val="24"/>
          <w:szCs w:val="24"/>
        </w:rPr>
        <w:t>finalized</w:t>
      </w:r>
      <w:r w:rsidRPr="008F3A61">
        <w:rPr>
          <w:rFonts w:ascii="Arial" w:hAnsi="Arial" w:cs="Arial"/>
          <w:color w:val="000000"/>
          <w:sz w:val="24"/>
          <w:szCs w:val="24"/>
        </w:rPr>
        <w:t xml:space="preserve">. Of the </w:t>
      </w:r>
      <w:r w:rsidR="004606C2">
        <w:rPr>
          <w:rFonts w:ascii="Arial" w:hAnsi="Arial" w:cs="Arial"/>
          <w:color w:val="000000"/>
          <w:sz w:val="24"/>
          <w:szCs w:val="24"/>
        </w:rPr>
        <w:t>six (</w:t>
      </w:r>
      <w:r w:rsidRPr="008F3A61">
        <w:rPr>
          <w:rFonts w:ascii="Arial" w:hAnsi="Arial" w:cs="Arial"/>
          <w:color w:val="000000"/>
          <w:sz w:val="24"/>
          <w:szCs w:val="24"/>
        </w:rPr>
        <w:t>6</w:t>
      </w:r>
      <w:r w:rsidR="004606C2">
        <w:rPr>
          <w:rFonts w:ascii="Arial" w:hAnsi="Arial" w:cs="Arial"/>
          <w:color w:val="000000"/>
          <w:sz w:val="24"/>
          <w:szCs w:val="24"/>
        </w:rPr>
        <w:t>)</w:t>
      </w:r>
      <w:r w:rsidRPr="008F3A61">
        <w:rPr>
          <w:rFonts w:ascii="Arial" w:hAnsi="Arial" w:cs="Arial"/>
          <w:color w:val="000000"/>
          <w:sz w:val="24"/>
          <w:szCs w:val="24"/>
        </w:rPr>
        <w:t xml:space="preserve"> </w:t>
      </w:r>
      <w:r w:rsidR="00B01C93">
        <w:rPr>
          <w:rFonts w:ascii="Arial" w:hAnsi="Arial" w:cs="Arial"/>
          <w:color w:val="000000"/>
          <w:sz w:val="24"/>
          <w:szCs w:val="24"/>
        </w:rPr>
        <w:t>cases finalized,</w:t>
      </w:r>
      <w:r w:rsidRPr="008F3A61">
        <w:rPr>
          <w:rFonts w:ascii="Arial" w:hAnsi="Arial" w:cs="Arial"/>
          <w:color w:val="000000"/>
          <w:sz w:val="24"/>
          <w:szCs w:val="24"/>
        </w:rPr>
        <w:t xml:space="preserve"> there were four </w:t>
      </w:r>
      <w:r w:rsidR="004606C2">
        <w:rPr>
          <w:rFonts w:ascii="Arial" w:hAnsi="Arial" w:cs="Arial"/>
          <w:color w:val="000000"/>
          <w:sz w:val="24"/>
          <w:szCs w:val="24"/>
        </w:rPr>
        <w:t xml:space="preserve">(4) </w:t>
      </w:r>
      <w:r w:rsidRPr="008F3A61">
        <w:rPr>
          <w:rFonts w:ascii="Arial" w:hAnsi="Arial" w:cs="Arial"/>
          <w:color w:val="000000"/>
          <w:sz w:val="24"/>
          <w:szCs w:val="24"/>
        </w:rPr>
        <w:t xml:space="preserve">convictions, one </w:t>
      </w:r>
      <w:r w:rsidR="004606C2">
        <w:rPr>
          <w:rFonts w:ascii="Arial" w:hAnsi="Arial" w:cs="Arial"/>
          <w:color w:val="000000"/>
          <w:sz w:val="24"/>
          <w:szCs w:val="24"/>
        </w:rPr>
        <w:t xml:space="preserve">(1) </w:t>
      </w:r>
      <w:r w:rsidRPr="00AB7934">
        <w:rPr>
          <w:rFonts w:ascii="Arial" w:hAnsi="Arial" w:cs="Arial"/>
          <w:i/>
          <w:color w:val="000000"/>
          <w:sz w:val="24"/>
          <w:szCs w:val="24"/>
        </w:rPr>
        <w:t>n</w:t>
      </w:r>
      <w:r w:rsidR="000309B7" w:rsidRPr="00AB7934">
        <w:rPr>
          <w:rFonts w:ascii="Arial" w:hAnsi="Arial" w:cs="Arial"/>
          <w:i/>
          <w:color w:val="000000"/>
          <w:sz w:val="24"/>
          <w:szCs w:val="24"/>
        </w:rPr>
        <w:t>olle prosequi</w:t>
      </w:r>
      <w:r w:rsidR="000309B7">
        <w:rPr>
          <w:rFonts w:ascii="Arial" w:hAnsi="Arial" w:cs="Arial"/>
          <w:color w:val="000000"/>
          <w:sz w:val="24"/>
          <w:szCs w:val="24"/>
        </w:rPr>
        <w:t xml:space="preserve"> </w:t>
      </w:r>
      <w:r w:rsidR="004606C2">
        <w:rPr>
          <w:rFonts w:ascii="Arial" w:hAnsi="Arial" w:cs="Arial"/>
          <w:color w:val="000000"/>
          <w:sz w:val="24"/>
          <w:szCs w:val="24"/>
        </w:rPr>
        <w:t xml:space="preserve">(decision not to prosecute) </w:t>
      </w:r>
      <w:r w:rsidRPr="008F3A61">
        <w:rPr>
          <w:rFonts w:ascii="Arial" w:hAnsi="Arial" w:cs="Arial"/>
          <w:color w:val="000000"/>
          <w:sz w:val="24"/>
          <w:szCs w:val="24"/>
        </w:rPr>
        <w:t xml:space="preserve">and one </w:t>
      </w:r>
      <w:r w:rsidR="004606C2">
        <w:rPr>
          <w:rFonts w:ascii="Arial" w:hAnsi="Arial" w:cs="Arial"/>
          <w:color w:val="000000"/>
          <w:sz w:val="24"/>
          <w:szCs w:val="24"/>
        </w:rPr>
        <w:t xml:space="preserve">(1) </w:t>
      </w:r>
      <w:r w:rsidR="007B5B61" w:rsidRPr="008F3A61">
        <w:rPr>
          <w:rFonts w:ascii="Arial" w:hAnsi="Arial" w:cs="Arial"/>
          <w:color w:val="000000"/>
          <w:sz w:val="24"/>
          <w:szCs w:val="24"/>
        </w:rPr>
        <w:t>finalized</w:t>
      </w:r>
      <w:r w:rsidRPr="008F3A61">
        <w:rPr>
          <w:rFonts w:ascii="Arial" w:hAnsi="Arial" w:cs="Arial"/>
          <w:color w:val="000000"/>
          <w:sz w:val="24"/>
          <w:szCs w:val="24"/>
        </w:rPr>
        <w:t xml:space="preserve"> through Alternat</w:t>
      </w:r>
      <w:r w:rsidR="004606C2">
        <w:rPr>
          <w:rFonts w:ascii="Arial" w:hAnsi="Arial" w:cs="Arial"/>
          <w:color w:val="000000"/>
          <w:sz w:val="24"/>
          <w:szCs w:val="24"/>
        </w:rPr>
        <w:t>iv</w:t>
      </w:r>
      <w:r w:rsidRPr="008F3A61">
        <w:rPr>
          <w:rFonts w:ascii="Arial" w:hAnsi="Arial" w:cs="Arial"/>
          <w:color w:val="000000"/>
          <w:sz w:val="24"/>
          <w:szCs w:val="24"/>
        </w:rPr>
        <w:t>e Dispute Resolution Mechanism</w:t>
      </w:r>
      <w:r w:rsidR="00F150F0">
        <w:rPr>
          <w:rFonts w:ascii="Arial" w:hAnsi="Arial" w:cs="Arial"/>
          <w:color w:val="000000"/>
          <w:sz w:val="24"/>
          <w:szCs w:val="24"/>
        </w:rPr>
        <w:t xml:space="preserve"> (mediation)</w:t>
      </w:r>
      <w:r w:rsidRPr="008F3A61">
        <w:rPr>
          <w:rFonts w:ascii="Arial" w:hAnsi="Arial" w:cs="Arial"/>
          <w:color w:val="000000"/>
          <w:sz w:val="24"/>
          <w:szCs w:val="24"/>
        </w:rPr>
        <w:t xml:space="preserve">. </w:t>
      </w:r>
    </w:p>
    <w:p w:rsidR="008F3A61" w:rsidRDefault="00B01C93" w:rsidP="00003B61">
      <w:pPr>
        <w:spacing w:line="360" w:lineRule="auto"/>
        <w:ind w:left="1135"/>
        <w:jc w:val="both"/>
        <w:rPr>
          <w:rFonts w:ascii="Arial" w:hAnsi="Arial" w:cs="Arial"/>
          <w:color w:val="000000"/>
          <w:sz w:val="24"/>
          <w:szCs w:val="24"/>
        </w:rPr>
      </w:pPr>
      <w:r>
        <w:rPr>
          <w:rFonts w:ascii="Arial" w:hAnsi="Arial" w:cs="Arial"/>
          <w:color w:val="000000"/>
          <w:sz w:val="24"/>
          <w:szCs w:val="24"/>
        </w:rPr>
        <w:t xml:space="preserve">It can be noted that the IMC: Immigration </w:t>
      </w:r>
      <w:r w:rsidR="000309B7">
        <w:rPr>
          <w:rFonts w:ascii="Arial" w:hAnsi="Arial" w:cs="Arial"/>
          <w:color w:val="000000"/>
          <w:sz w:val="24"/>
          <w:szCs w:val="24"/>
        </w:rPr>
        <w:t>on a regular basis brief</w:t>
      </w:r>
      <w:r w:rsidR="00F150F0">
        <w:rPr>
          <w:rFonts w:ascii="Arial" w:hAnsi="Arial" w:cs="Arial"/>
          <w:color w:val="000000"/>
          <w:sz w:val="24"/>
          <w:szCs w:val="24"/>
        </w:rPr>
        <w:t>s</w:t>
      </w:r>
      <w:r w:rsidR="000309B7">
        <w:rPr>
          <w:rFonts w:ascii="Arial" w:hAnsi="Arial" w:cs="Arial"/>
          <w:color w:val="000000"/>
          <w:sz w:val="24"/>
          <w:szCs w:val="24"/>
        </w:rPr>
        <w:t xml:space="preserve"> the country on these issues </w:t>
      </w:r>
      <w:r w:rsidR="00F150F0">
        <w:rPr>
          <w:rFonts w:ascii="Arial" w:hAnsi="Arial" w:cs="Arial"/>
          <w:color w:val="000000"/>
          <w:sz w:val="24"/>
          <w:szCs w:val="24"/>
        </w:rPr>
        <w:t>through media briefings</w:t>
      </w:r>
      <w:r w:rsidR="00AB7934">
        <w:rPr>
          <w:rFonts w:ascii="Arial" w:hAnsi="Arial" w:cs="Arial"/>
          <w:color w:val="000000"/>
          <w:sz w:val="24"/>
          <w:szCs w:val="24"/>
        </w:rPr>
        <w:t>. A</w:t>
      </w:r>
      <w:r>
        <w:rPr>
          <w:rFonts w:ascii="Arial" w:hAnsi="Arial" w:cs="Arial"/>
          <w:color w:val="000000"/>
          <w:sz w:val="24"/>
          <w:szCs w:val="24"/>
        </w:rPr>
        <w:t xml:space="preserve"> further media briefing indicating progress in dealing with the issues relating to Foreign Nationals, including </w:t>
      </w:r>
      <w:r w:rsidR="00F150F0">
        <w:rPr>
          <w:rFonts w:ascii="Arial" w:hAnsi="Arial" w:cs="Arial"/>
          <w:color w:val="000000"/>
          <w:sz w:val="24"/>
          <w:szCs w:val="24"/>
        </w:rPr>
        <w:t xml:space="preserve">the </w:t>
      </w:r>
      <w:r>
        <w:rPr>
          <w:rFonts w:ascii="Arial" w:hAnsi="Arial" w:cs="Arial"/>
          <w:color w:val="000000"/>
          <w:sz w:val="24"/>
          <w:szCs w:val="24"/>
        </w:rPr>
        <w:t>cases finalized</w:t>
      </w:r>
      <w:r w:rsidR="00AB7934">
        <w:rPr>
          <w:rFonts w:ascii="Arial" w:hAnsi="Arial" w:cs="Arial"/>
          <w:color w:val="000000"/>
          <w:sz w:val="24"/>
          <w:szCs w:val="24"/>
        </w:rPr>
        <w:t>,</w:t>
      </w:r>
      <w:r w:rsidR="00F150F0">
        <w:rPr>
          <w:rFonts w:ascii="Arial" w:hAnsi="Arial" w:cs="Arial"/>
          <w:color w:val="000000"/>
          <w:sz w:val="24"/>
          <w:szCs w:val="24"/>
        </w:rPr>
        <w:t xml:space="preserve"> will follow soon (</w:t>
      </w:r>
      <w:r w:rsidR="00AB7934">
        <w:rPr>
          <w:rFonts w:ascii="Arial" w:hAnsi="Arial" w:cs="Arial"/>
          <w:color w:val="000000"/>
          <w:sz w:val="24"/>
          <w:szCs w:val="24"/>
        </w:rPr>
        <w:t xml:space="preserve">on </w:t>
      </w:r>
      <w:r w:rsidR="00F150F0">
        <w:rPr>
          <w:rFonts w:ascii="Arial" w:hAnsi="Arial" w:cs="Arial"/>
          <w:color w:val="000000"/>
          <w:sz w:val="24"/>
          <w:szCs w:val="24"/>
        </w:rPr>
        <w:t>22 August 2015)</w:t>
      </w:r>
      <w:r>
        <w:rPr>
          <w:rFonts w:ascii="Arial" w:hAnsi="Arial" w:cs="Arial"/>
          <w:color w:val="000000"/>
          <w:sz w:val="24"/>
          <w:szCs w:val="24"/>
        </w:rPr>
        <w:t>.</w:t>
      </w:r>
    </w:p>
    <w:p w:rsidR="00F150F0" w:rsidRDefault="00F150F0" w:rsidP="00003B61">
      <w:pPr>
        <w:spacing w:line="360" w:lineRule="auto"/>
        <w:ind w:left="1135"/>
        <w:jc w:val="both"/>
        <w:rPr>
          <w:rFonts w:ascii="Arial" w:hAnsi="Arial" w:cs="Arial"/>
          <w:color w:val="000000"/>
          <w:sz w:val="24"/>
          <w:szCs w:val="24"/>
        </w:rPr>
      </w:pPr>
    </w:p>
    <w:p w:rsidR="00F150F0" w:rsidRDefault="00F150F0" w:rsidP="00003B61">
      <w:pPr>
        <w:spacing w:line="360" w:lineRule="auto"/>
        <w:ind w:left="1135"/>
        <w:jc w:val="both"/>
        <w:rPr>
          <w:rFonts w:ascii="Arial" w:hAnsi="Arial" w:cs="Arial"/>
          <w:color w:val="000000"/>
          <w:sz w:val="24"/>
          <w:szCs w:val="24"/>
        </w:rPr>
      </w:pPr>
    </w:p>
    <w:p w:rsidR="00F150F0" w:rsidRDefault="00F150F0" w:rsidP="00003B61">
      <w:pPr>
        <w:spacing w:line="360" w:lineRule="auto"/>
        <w:ind w:left="1135"/>
        <w:jc w:val="both"/>
        <w:rPr>
          <w:rFonts w:ascii="Arial" w:hAnsi="Arial" w:cs="Arial"/>
          <w:color w:val="000000"/>
          <w:sz w:val="24"/>
          <w:szCs w:val="24"/>
        </w:rPr>
      </w:pPr>
    </w:p>
    <w:p w:rsidR="00F150F0" w:rsidRDefault="00F150F0" w:rsidP="00003B61">
      <w:pPr>
        <w:spacing w:line="360" w:lineRule="auto"/>
        <w:ind w:left="1135"/>
        <w:jc w:val="both"/>
        <w:rPr>
          <w:rFonts w:ascii="Arial" w:hAnsi="Arial" w:cs="Arial"/>
          <w:color w:val="000000"/>
          <w:sz w:val="24"/>
          <w:szCs w:val="24"/>
        </w:rPr>
      </w:pPr>
    </w:p>
    <w:p w:rsidR="00F150F0" w:rsidRDefault="00F150F0" w:rsidP="00003B61">
      <w:pPr>
        <w:spacing w:line="360" w:lineRule="auto"/>
        <w:ind w:left="1135"/>
        <w:jc w:val="both"/>
        <w:rPr>
          <w:rFonts w:ascii="Arial" w:hAnsi="Arial" w:cs="Arial"/>
          <w:color w:val="000000"/>
          <w:sz w:val="24"/>
          <w:szCs w:val="24"/>
        </w:rPr>
      </w:pPr>
    </w:p>
    <w:p w:rsidR="00F150F0" w:rsidRDefault="00F150F0" w:rsidP="00003B61">
      <w:pPr>
        <w:spacing w:line="360" w:lineRule="auto"/>
        <w:ind w:left="1135"/>
        <w:jc w:val="both"/>
        <w:rPr>
          <w:rFonts w:ascii="Arial" w:hAnsi="Arial" w:cs="Arial"/>
          <w:color w:val="000000"/>
          <w:sz w:val="24"/>
          <w:szCs w:val="24"/>
        </w:rPr>
      </w:pPr>
    </w:p>
    <w:p w:rsidR="00F150F0" w:rsidRDefault="00F150F0" w:rsidP="00003B61">
      <w:pPr>
        <w:spacing w:line="360" w:lineRule="auto"/>
        <w:ind w:left="1135"/>
        <w:jc w:val="both"/>
        <w:rPr>
          <w:rFonts w:ascii="Arial" w:hAnsi="Arial" w:cs="Arial"/>
          <w:color w:val="000000"/>
          <w:sz w:val="24"/>
          <w:szCs w:val="24"/>
        </w:rPr>
      </w:pPr>
    </w:p>
    <w:p w:rsidR="00F150F0" w:rsidRDefault="00F150F0" w:rsidP="00003B61">
      <w:pPr>
        <w:spacing w:line="360" w:lineRule="auto"/>
        <w:ind w:left="1135"/>
        <w:jc w:val="both"/>
        <w:rPr>
          <w:rFonts w:ascii="Arial" w:hAnsi="Arial" w:cs="Arial"/>
          <w:color w:val="000000"/>
          <w:sz w:val="24"/>
          <w:szCs w:val="24"/>
        </w:rPr>
      </w:pPr>
    </w:p>
    <w:p w:rsidR="00F150F0" w:rsidRDefault="00F150F0" w:rsidP="00003B61">
      <w:pPr>
        <w:spacing w:line="360" w:lineRule="auto"/>
        <w:ind w:left="1135"/>
        <w:jc w:val="both"/>
        <w:rPr>
          <w:rFonts w:ascii="Arial" w:hAnsi="Arial" w:cs="Arial"/>
          <w:color w:val="000000"/>
          <w:sz w:val="24"/>
          <w:szCs w:val="24"/>
        </w:rPr>
      </w:pPr>
    </w:p>
    <w:p w:rsidR="00F150F0" w:rsidRDefault="00F150F0" w:rsidP="00003B61">
      <w:pPr>
        <w:spacing w:line="360" w:lineRule="auto"/>
        <w:ind w:left="1135"/>
        <w:jc w:val="both"/>
        <w:rPr>
          <w:rFonts w:ascii="Arial" w:hAnsi="Arial" w:cs="Arial"/>
          <w:color w:val="000000"/>
          <w:sz w:val="24"/>
          <w:szCs w:val="24"/>
        </w:rPr>
      </w:pPr>
    </w:p>
    <w:p w:rsidR="00F150F0" w:rsidRDefault="00F150F0" w:rsidP="00003B61">
      <w:pPr>
        <w:spacing w:line="360" w:lineRule="auto"/>
        <w:ind w:left="1135"/>
        <w:jc w:val="both"/>
        <w:rPr>
          <w:rFonts w:ascii="Arial" w:hAnsi="Arial" w:cs="Arial"/>
          <w:color w:val="000000"/>
          <w:sz w:val="24"/>
          <w:szCs w:val="24"/>
        </w:rPr>
      </w:pPr>
    </w:p>
    <w:p w:rsidR="00F150F0" w:rsidRPr="0055346E" w:rsidRDefault="00F150F0" w:rsidP="00F150F0">
      <w:pPr>
        <w:spacing w:line="360" w:lineRule="auto"/>
        <w:jc w:val="both"/>
        <w:rPr>
          <w:rFonts w:ascii="Arial" w:hAnsi="Arial" w:cs="Arial"/>
          <w:b/>
          <w:color w:val="000000"/>
          <w:sz w:val="24"/>
          <w:szCs w:val="24"/>
        </w:rPr>
      </w:pPr>
      <w:r w:rsidRPr="0055346E">
        <w:rPr>
          <w:rFonts w:ascii="Arial" w:hAnsi="Arial" w:cs="Arial"/>
          <w:b/>
          <w:color w:val="000000"/>
          <w:sz w:val="24"/>
          <w:szCs w:val="24"/>
        </w:rPr>
        <w:t>Background information:</w:t>
      </w:r>
    </w:p>
    <w:p w:rsidR="00F150F0" w:rsidRDefault="00F150F0" w:rsidP="00F150F0">
      <w:pPr>
        <w:jc w:val="both"/>
        <w:rPr>
          <w:rFonts w:ascii="Arial" w:hAnsi="Arial" w:cs="Arial"/>
          <w:sz w:val="24"/>
        </w:rPr>
      </w:pPr>
      <w:r w:rsidRPr="00233141">
        <w:rPr>
          <w:rFonts w:ascii="Arial" w:hAnsi="Arial" w:cs="Arial"/>
          <w:sz w:val="24"/>
        </w:rPr>
        <w:t xml:space="preserve">In terms of the breakdown of the </w:t>
      </w:r>
      <w:r>
        <w:rPr>
          <w:rFonts w:ascii="Arial" w:hAnsi="Arial" w:cs="Arial"/>
          <w:sz w:val="24"/>
        </w:rPr>
        <w:t>2008 incidents, the 597</w:t>
      </w:r>
      <w:r w:rsidRPr="00233141">
        <w:rPr>
          <w:rFonts w:ascii="Arial" w:hAnsi="Arial" w:cs="Arial"/>
          <w:sz w:val="24"/>
        </w:rPr>
        <w:t xml:space="preserve"> cases </w:t>
      </w:r>
      <w:r>
        <w:rPr>
          <w:rFonts w:ascii="Arial" w:hAnsi="Arial" w:cs="Arial"/>
          <w:sz w:val="24"/>
        </w:rPr>
        <w:t xml:space="preserve">can be disaggregated </w:t>
      </w:r>
      <w:r w:rsidRPr="00233141">
        <w:rPr>
          <w:rFonts w:ascii="Arial" w:hAnsi="Arial" w:cs="Arial"/>
          <w:sz w:val="24"/>
        </w:rPr>
        <w:t>per crime category (charge</w:t>
      </w:r>
      <w:r>
        <w:rPr>
          <w:rFonts w:ascii="Arial" w:hAnsi="Arial" w:cs="Arial"/>
          <w:sz w:val="24"/>
        </w:rPr>
        <w:t xml:space="preserve">s) as follows: </w:t>
      </w:r>
    </w:p>
    <w:p w:rsidR="00F150F0" w:rsidRPr="00233141" w:rsidRDefault="00F150F0" w:rsidP="00F150F0">
      <w:pPr>
        <w:jc w:val="both"/>
        <w:rPr>
          <w:rFonts w:ascii="Arial" w:hAnsi="Arial" w:cs="Arial"/>
          <w:sz w:val="24"/>
        </w:rPr>
      </w:pPr>
    </w:p>
    <w:tbl>
      <w:tblPr>
        <w:tblW w:w="0" w:type="auto"/>
        <w:jc w:val="center"/>
        <w:tblInd w:w="-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83"/>
        <w:gridCol w:w="797"/>
      </w:tblGrid>
      <w:tr w:rsidR="00F150F0" w:rsidRPr="00233141" w:rsidTr="0055346E">
        <w:trPr>
          <w:jc w:val="center"/>
        </w:trPr>
        <w:tc>
          <w:tcPr>
            <w:tcW w:w="5983" w:type="dxa"/>
          </w:tcPr>
          <w:p w:rsidR="00F150F0" w:rsidRPr="007437FA" w:rsidRDefault="00F150F0" w:rsidP="00AC7F3D">
            <w:pPr>
              <w:spacing w:before="100" w:beforeAutospacing="1" w:after="100" w:afterAutospacing="1"/>
              <w:rPr>
                <w:rFonts w:ascii="Arial" w:hAnsi="Arial" w:cs="Arial"/>
                <w:color w:val="000000"/>
                <w:sz w:val="24"/>
              </w:rPr>
            </w:pPr>
            <w:r w:rsidRPr="007437FA">
              <w:rPr>
                <w:rFonts w:ascii="Arial" w:hAnsi="Arial" w:cs="Arial"/>
                <w:color w:val="000000"/>
                <w:sz w:val="24"/>
              </w:rPr>
              <w:t>Public Violence                    </w:t>
            </w:r>
          </w:p>
        </w:tc>
        <w:tc>
          <w:tcPr>
            <w:tcW w:w="797" w:type="dxa"/>
          </w:tcPr>
          <w:p w:rsidR="00F150F0" w:rsidRPr="007437FA" w:rsidRDefault="00F150F0" w:rsidP="00AC7F3D">
            <w:pPr>
              <w:spacing w:before="100" w:beforeAutospacing="1" w:after="100" w:afterAutospacing="1"/>
              <w:rPr>
                <w:rFonts w:ascii="Arial" w:hAnsi="Arial" w:cs="Arial"/>
                <w:color w:val="000000"/>
                <w:sz w:val="24"/>
              </w:rPr>
            </w:pPr>
            <w:r w:rsidRPr="007437FA">
              <w:rPr>
                <w:rFonts w:ascii="Arial" w:hAnsi="Arial" w:cs="Arial"/>
                <w:color w:val="000000"/>
                <w:sz w:val="24"/>
              </w:rPr>
              <w:t>112</w:t>
            </w:r>
          </w:p>
        </w:tc>
      </w:tr>
      <w:tr w:rsidR="00F150F0" w:rsidRPr="00233141" w:rsidTr="0055346E">
        <w:trPr>
          <w:jc w:val="center"/>
        </w:trPr>
        <w:tc>
          <w:tcPr>
            <w:tcW w:w="5983" w:type="dxa"/>
          </w:tcPr>
          <w:p w:rsidR="00F150F0" w:rsidRPr="007437FA" w:rsidRDefault="00F150F0" w:rsidP="00AC7F3D">
            <w:pPr>
              <w:spacing w:before="100" w:beforeAutospacing="1" w:after="100" w:afterAutospacing="1"/>
              <w:rPr>
                <w:rFonts w:ascii="Arial" w:hAnsi="Arial" w:cs="Arial"/>
                <w:color w:val="000000"/>
                <w:sz w:val="24"/>
              </w:rPr>
            </w:pPr>
            <w:r w:rsidRPr="007437FA">
              <w:rPr>
                <w:rFonts w:ascii="Arial" w:hAnsi="Arial" w:cs="Arial"/>
                <w:color w:val="000000"/>
                <w:sz w:val="24"/>
              </w:rPr>
              <w:t>Housebreaking </w:t>
            </w:r>
          </w:p>
        </w:tc>
        <w:tc>
          <w:tcPr>
            <w:tcW w:w="797" w:type="dxa"/>
          </w:tcPr>
          <w:p w:rsidR="00F150F0" w:rsidRPr="007437FA" w:rsidRDefault="00F150F0" w:rsidP="00AC7F3D">
            <w:pPr>
              <w:spacing w:before="100" w:beforeAutospacing="1" w:after="100" w:afterAutospacing="1"/>
              <w:rPr>
                <w:rFonts w:ascii="Arial" w:hAnsi="Arial" w:cs="Arial"/>
                <w:color w:val="000000"/>
                <w:sz w:val="24"/>
              </w:rPr>
            </w:pPr>
            <w:r w:rsidRPr="007437FA">
              <w:rPr>
                <w:rFonts w:ascii="Arial" w:hAnsi="Arial" w:cs="Arial"/>
                <w:color w:val="000000"/>
                <w:sz w:val="24"/>
              </w:rPr>
              <w:t>107</w:t>
            </w:r>
          </w:p>
        </w:tc>
      </w:tr>
      <w:tr w:rsidR="00F150F0" w:rsidRPr="00233141" w:rsidTr="0055346E">
        <w:trPr>
          <w:jc w:val="center"/>
        </w:trPr>
        <w:tc>
          <w:tcPr>
            <w:tcW w:w="5983" w:type="dxa"/>
          </w:tcPr>
          <w:p w:rsidR="00F150F0" w:rsidRPr="007437FA" w:rsidRDefault="00F150F0" w:rsidP="00AC7F3D">
            <w:pPr>
              <w:spacing w:before="100" w:beforeAutospacing="1" w:after="100" w:afterAutospacing="1"/>
              <w:rPr>
                <w:rFonts w:ascii="Arial" w:hAnsi="Arial" w:cs="Arial"/>
                <w:color w:val="000000"/>
                <w:sz w:val="24"/>
              </w:rPr>
            </w:pPr>
            <w:r w:rsidRPr="007437FA">
              <w:rPr>
                <w:rFonts w:ascii="Arial" w:hAnsi="Arial" w:cs="Arial"/>
                <w:color w:val="000000"/>
                <w:sz w:val="24"/>
              </w:rPr>
              <w:t>Attempted robbery/robbery</w:t>
            </w:r>
          </w:p>
        </w:tc>
        <w:tc>
          <w:tcPr>
            <w:tcW w:w="797" w:type="dxa"/>
          </w:tcPr>
          <w:p w:rsidR="00F150F0" w:rsidRPr="007437FA" w:rsidRDefault="00F150F0" w:rsidP="00AC7F3D">
            <w:pPr>
              <w:spacing w:before="100" w:beforeAutospacing="1" w:after="100" w:afterAutospacing="1"/>
              <w:rPr>
                <w:rFonts w:ascii="Arial" w:hAnsi="Arial" w:cs="Arial"/>
                <w:color w:val="000000"/>
                <w:sz w:val="24"/>
              </w:rPr>
            </w:pPr>
            <w:r w:rsidRPr="007437FA">
              <w:rPr>
                <w:rFonts w:ascii="Arial" w:hAnsi="Arial" w:cs="Arial"/>
                <w:color w:val="000000"/>
                <w:sz w:val="24"/>
              </w:rPr>
              <w:t>96</w:t>
            </w:r>
          </w:p>
        </w:tc>
      </w:tr>
      <w:tr w:rsidR="00F150F0" w:rsidRPr="00233141" w:rsidTr="0055346E">
        <w:trPr>
          <w:jc w:val="center"/>
        </w:trPr>
        <w:tc>
          <w:tcPr>
            <w:tcW w:w="5983" w:type="dxa"/>
          </w:tcPr>
          <w:p w:rsidR="00F150F0" w:rsidRPr="00233141" w:rsidRDefault="00F150F0" w:rsidP="00AC7F3D">
            <w:pPr>
              <w:spacing w:before="100" w:beforeAutospacing="1" w:after="100" w:afterAutospacing="1"/>
              <w:rPr>
                <w:rFonts w:ascii="Arial" w:hAnsi="Arial" w:cs="Arial"/>
                <w:color w:val="000000"/>
                <w:sz w:val="24"/>
              </w:rPr>
            </w:pPr>
            <w:r w:rsidRPr="00233141">
              <w:rPr>
                <w:rFonts w:ascii="Arial" w:hAnsi="Arial" w:cs="Arial"/>
                <w:color w:val="000000"/>
                <w:sz w:val="24"/>
              </w:rPr>
              <w:t>Murder / attempted murder</w:t>
            </w:r>
          </w:p>
        </w:tc>
        <w:tc>
          <w:tcPr>
            <w:tcW w:w="797" w:type="dxa"/>
          </w:tcPr>
          <w:p w:rsidR="00F150F0" w:rsidRPr="00233141" w:rsidRDefault="00F150F0" w:rsidP="00AC7F3D">
            <w:pPr>
              <w:spacing w:before="100" w:beforeAutospacing="1" w:after="100" w:afterAutospacing="1"/>
              <w:rPr>
                <w:rFonts w:ascii="Arial" w:hAnsi="Arial" w:cs="Arial"/>
                <w:color w:val="000000"/>
                <w:sz w:val="24"/>
              </w:rPr>
            </w:pPr>
            <w:r>
              <w:rPr>
                <w:rFonts w:ascii="Arial" w:hAnsi="Arial" w:cs="Arial"/>
                <w:color w:val="000000"/>
                <w:sz w:val="24"/>
              </w:rPr>
              <w:t>62</w:t>
            </w:r>
          </w:p>
        </w:tc>
      </w:tr>
      <w:tr w:rsidR="00F150F0" w:rsidRPr="00233141" w:rsidTr="0055346E">
        <w:trPr>
          <w:jc w:val="center"/>
        </w:trPr>
        <w:tc>
          <w:tcPr>
            <w:tcW w:w="5983" w:type="dxa"/>
          </w:tcPr>
          <w:p w:rsidR="00F150F0" w:rsidRPr="007437FA" w:rsidRDefault="00F150F0" w:rsidP="00AC7F3D">
            <w:pPr>
              <w:spacing w:before="100" w:beforeAutospacing="1" w:after="100" w:afterAutospacing="1"/>
              <w:rPr>
                <w:rFonts w:ascii="Arial" w:hAnsi="Arial" w:cs="Arial"/>
                <w:color w:val="000000"/>
                <w:sz w:val="24"/>
              </w:rPr>
            </w:pPr>
            <w:r w:rsidRPr="007437FA">
              <w:rPr>
                <w:rFonts w:ascii="Arial" w:hAnsi="Arial" w:cs="Arial"/>
                <w:color w:val="000000"/>
                <w:sz w:val="24"/>
              </w:rPr>
              <w:t>Theft</w:t>
            </w:r>
          </w:p>
        </w:tc>
        <w:tc>
          <w:tcPr>
            <w:tcW w:w="797" w:type="dxa"/>
          </w:tcPr>
          <w:p w:rsidR="00F150F0" w:rsidRPr="007437FA" w:rsidRDefault="00F150F0" w:rsidP="00AC7F3D">
            <w:pPr>
              <w:spacing w:before="100" w:beforeAutospacing="1" w:after="100" w:afterAutospacing="1"/>
              <w:rPr>
                <w:rFonts w:ascii="Arial" w:hAnsi="Arial" w:cs="Arial"/>
                <w:color w:val="000000"/>
                <w:sz w:val="24"/>
              </w:rPr>
            </w:pPr>
            <w:r w:rsidRPr="007437FA">
              <w:rPr>
                <w:rFonts w:ascii="Arial" w:hAnsi="Arial" w:cs="Arial"/>
                <w:color w:val="000000"/>
                <w:sz w:val="24"/>
              </w:rPr>
              <w:t>58</w:t>
            </w:r>
          </w:p>
        </w:tc>
      </w:tr>
      <w:tr w:rsidR="00F150F0" w:rsidRPr="00233141" w:rsidTr="0055346E">
        <w:trPr>
          <w:jc w:val="center"/>
        </w:trPr>
        <w:tc>
          <w:tcPr>
            <w:tcW w:w="5983" w:type="dxa"/>
          </w:tcPr>
          <w:p w:rsidR="00F150F0" w:rsidRPr="00233141" w:rsidRDefault="00F150F0" w:rsidP="00AC7F3D">
            <w:pPr>
              <w:spacing w:before="100" w:beforeAutospacing="1" w:after="100" w:afterAutospacing="1"/>
              <w:rPr>
                <w:rFonts w:ascii="Arial" w:hAnsi="Arial" w:cs="Arial"/>
                <w:color w:val="000000"/>
                <w:sz w:val="24"/>
              </w:rPr>
            </w:pPr>
            <w:r w:rsidRPr="00233141">
              <w:rPr>
                <w:rFonts w:ascii="Arial" w:hAnsi="Arial" w:cs="Arial"/>
                <w:color w:val="000000"/>
                <w:sz w:val="24"/>
              </w:rPr>
              <w:t>Malicious Damage to Property</w:t>
            </w:r>
          </w:p>
        </w:tc>
        <w:tc>
          <w:tcPr>
            <w:tcW w:w="797" w:type="dxa"/>
          </w:tcPr>
          <w:p w:rsidR="00F150F0" w:rsidRPr="00233141" w:rsidRDefault="00F150F0" w:rsidP="00AC7F3D">
            <w:pPr>
              <w:spacing w:before="100" w:beforeAutospacing="1" w:after="100" w:afterAutospacing="1"/>
              <w:rPr>
                <w:rFonts w:ascii="Arial" w:hAnsi="Arial" w:cs="Arial"/>
                <w:color w:val="000000"/>
                <w:sz w:val="24"/>
              </w:rPr>
            </w:pPr>
            <w:r w:rsidRPr="00233141">
              <w:rPr>
                <w:rFonts w:ascii="Arial" w:hAnsi="Arial" w:cs="Arial"/>
                <w:color w:val="000000"/>
                <w:sz w:val="24"/>
              </w:rPr>
              <w:t>36</w:t>
            </w:r>
          </w:p>
        </w:tc>
      </w:tr>
      <w:tr w:rsidR="00F150F0" w:rsidRPr="00233141" w:rsidTr="0055346E">
        <w:trPr>
          <w:jc w:val="center"/>
        </w:trPr>
        <w:tc>
          <w:tcPr>
            <w:tcW w:w="5983" w:type="dxa"/>
          </w:tcPr>
          <w:p w:rsidR="00F150F0" w:rsidRPr="00233141" w:rsidRDefault="00F150F0" w:rsidP="00AC7F3D">
            <w:pPr>
              <w:spacing w:before="100" w:beforeAutospacing="1" w:after="100" w:afterAutospacing="1"/>
              <w:rPr>
                <w:rFonts w:ascii="Arial" w:hAnsi="Arial" w:cs="Arial"/>
                <w:color w:val="000000"/>
                <w:sz w:val="24"/>
              </w:rPr>
            </w:pPr>
            <w:r w:rsidRPr="00233141">
              <w:rPr>
                <w:rFonts w:ascii="Arial" w:hAnsi="Arial" w:cs="Arial"/>
                <w:color w:val="000000"/>
                <w:sz w:val="24"/>
              </w:rPr>
              <w:t>Assault/ GBH</w:t>
            </w:r>
          </w:p>
        </w:tc>
        <w:tc>
          <w:tcPr>
            <w:tcW w:w="797" w:type="dxa"/>
          </w:tcPr>
          <w:p w:rsidR="00F150F0" w:rsidRPr="00233141" w:rsidRDefault="00F150F0" w:rsidP="00AC7F3D">
            <w:pPr>
              <w:spacing w:before="100" w:beforeAutospacing="1" w:after="100" w:afterAutospacing="1"/>
              <w:rPr>
                <w:rFonts w:ascii="Arial" w:hAnsi="Arial" w:cs="Arial"/>
                <w:color w:val="000000"/>
                <w:sz w:val="24"/>
              </w:rPr>
            </w:pPr>
            <w:r w:rsidRPr="00233141">
              <w:rPr>
                <w:rFonts w:ascii="Arial" w:hAnsi="Arial" w:cs="Arial"/>
                <w:color w:val="000000"/>
                <w:sz w:val="24"/>
              </w:rPr>
              <w:t>31</w:t>
            </w:r>
          </w:p>
        </w:tc>
      </w:tr>
      <w:tr w:rsidR="00F150F0" w:rsidRPr="00233141" w:rsidTr="0055346E">
        <w:trPr>
          <w:jc w:val="center"/>
        </w:trPr>
        <w:tc>
          <w:tcPr>
            <w:tcW w:w="5983" w:type="dxa"/>
          </w:tcPr>
          <w:p w:rsidR="00F150F0" w:rsidRPr="00233141" w:rsidRDefault="00F150F0" w:rsidP="00AC7F3D">
            <w:pPr>
              <w:spacing w:before="100" w:beforeAutospacing="1" w:after="100" w:afterAutospacing="1"/>
              <w:rPr>
                <w:rFonts w:ascii="Arial" w:hAnsi="Arial" w:cs="Arial"/>
                <w:color w:val="000000"/>
                <w:sz w:val="24"/>
              </w:rPr>
            </w:pPr>
            <w:r w:rsidRPr="00233141">
              <w:rPr>
                <w:rFonts w:ascii="Arial" w:hAnsi="Arial" w:cs="Arial"/>
                <w:color w:val="000000"/>
                <w:sz w:val="24"/>
              </w:rPr>
              <w:t>Intimidation</w:t>
            </w:r>
          </w:p>
        </w:tc>
        <w:tc>
          <w:tcPr>
            <w:tcW w:w="797" w:type="dxa"/>
          </w:tcPr>
          <w:p w:rsidR="00F150F0" w:rsidRPr="00233141" w:rsidRDefault="00F150F0" w:rsidP="00AC7F3D">
            <w:pPr>
              <w:spacing w:before="100" w:beforeAutospacing="1" w:after="100" w:afterAutospacing="1"/>
              <w:rPr>
                <w:rFonts w:ascii="Arial" w:hAnsi="Arial" w:cs="Arial"/>
                <w:color w:val="000000"/>
                <w:sz w:val="24"/>
              </w:rPr>
            </w:pPr>
            <w:r w:rsidRPr="00233141">
              <w:rPr>
                <w:rFonts w:ascii="Arial" w:hAnsi="Arial" w:cs="Arial"/>
                <w:color w:val="000000"/>
                <w:sz w:val="24"/>
              </w:rPr>
              <w:t>22</w:t>
            </w:r>
          </w:p>
        </w:tc>
      </w:tr>
      <w:tr w:rsidR="00F150F0" w:rsidRPr="00233141" w:rsidTr="0055346E">
        <w:trPr>
          <w:jc w:val="center"/>
        </w:trPr>
        <w:tc>
          <w:tcPr>
            <w:tcW w:w="5983" w:type="dxa"/>
          </w:tcPr>
          <w:p w:rsidR="00F150F0" w:rsidRPr="007437FA" w:rsidRDefault="00F150F0" w:rsidP="00AC7F3D">
            <w:pPr>
              <w:spacing w:before="100" w:beforeAutospacing="1" w:after="100" w:afterAutospacing="1"/>
              <w:rPr>
                <w:rFonts w:ascii="Arial" w:hAnsi="Arial" w:cs="Arial"/>
                <w:color w:val="000000"/>
                <w:sz w:val="24"/>
              </w:rPr>
            </w:pPr>
            <w:r w:rsidRPr="007437FA">
              <w:rPr>
                <w:rFonts w:ascii="Arial" w:hAnsi="Arial" w:cs="Arial"/>
                <w:color w:val="000000"/>
                <w:sz w:val="24"/>
              </w:rPr>
              <w:t>Armed robbery</w:t>
            </w:r>
          </w:p>
        </w:tc>
        <w:tc>
          <w:tcPr>
            <w:tcW w:w="797" w:type="dxa"/>
          </w:tcPr>
          <w:p w:rsidR="00F150F0" w:rsidRPr="007437FA" w:rsidRDefault="00F150F0" w:rsidP="00AC7F3D">
            <w:pPr>
              <w:spacing w:before="100" w:beforeAutospacing="1" w:after="100" w:afterAutospacing="1"/>
              <w:rPr>
                <w:rFonts w:ascii="Arial" w:hAnsi="Arial" w:cs="Arial"/>
                <w:color w:val="000000"/>
                <w:sz w:val="24"/>
              </w:rPr>
            </w:pPr>
            <w:r w:rsidRPr="007437FA">
              <w:rPr>
                <w:rFonts w:ascii="Arial" w:hAnsi="Arial" w:cs="Arial"/>
                <w:color w:val="000000"/>
                <w:sz w:val="24"/>
              </w:rPr>
              <w:t>22</w:t>
            </w:r>
          </w:p>
        </w:tc>
      </w:tr>
      <w:tr w:rsidR="00F150F0" w:rsidRPr="00233141" w:rsidTr="0055346E">
        <w:trPr>
          <w:jc w:val="center"/>
        </w:trPr>
        <w:tc>
          <w:tcPr>
            <w:tcW w:w="5983" w:type="dxa"/>
          </w:tcPr>
          <w:p w:rsidR="00F150F0" w:rsidRPr="007437FA" w:rsidRDefault="00F150F0" w:rsidP="00AC7F3D">
            <w:pPr>
              <w:spacing w:before="100" w:beforeAutospacing="1" w:after="100" w:afterAutospacing="1"/>
              <w:rPr>
                <w:rFonts w:ascii="Arial" w:hAnsi="Arial" w:cs="Arial"/>
                <w:color w:val="000000"/>
                <w:sz w:val="24"/>
              </w:rPr>
            </w:pPr>
            <w:r w:rsidRPr="007437FA">
              <w:rPr>
                <w:rFonts w:ascii="Arial" w:hAnsi="Arial" w:cs="Arial"/>
                <w:color w:val="000000"/>
                <w:sz w:val="24"/>
              </w:rPr>
              <w:t>House robbery</w:t>
            </w:r>
          </w:p>
        </w:tc>
        <w:tc>
          <w:tcPr>
            <w:tcW w:w="797" w:type="dxa"/>
          </w:tcPr>
          <w:p w:rsidR="00F150F0" w:rsidRPr="007437FA" w:rsidRDefault="00F150F0" w:rsidP="00AC7F3D">
            <w:pPr>
              <w:spacing w:before="100" w:beforeAutospacing="1" w:after="100" w:afterAutospacing="1"/>
              <w:rPr>
                <w:rFonts w:ascii="Arial" w:hAnsi="Arial" w:cs="Arial"/>
                <w:color w:val="000000"/>
                <w:sz w:val="24"/>
              </w:rPr>
            </w:pPr>
            <w:r w:rsidRPr="007437FA">
              <w:rPr>
                <w:rFonts w:ascii="Arial" w:hAnsi="Arial" w:cs="Arial"/>
                <w:color w:val="000000"/>
                <w:sz w:val="24"/>
              </w:rPr>
              <w:t>11</w:t>
            </w:r>
          </w:p>
        </w:tc>
      </w:tr>
      <w:tr w:rsidR="0055346E" w:rsidRPr="00233141" w:rsidTr="0055346E">
        <w:trPr>
          <w:jc w:val="center"/>
        </w:trPr>
        <w:tc>
          <w:tcPr>
            <w:tcW w:w="5983" w:type="dxa"/>
          </w:tcPr>
          <w:p w:rsidR="0055346E" w:rsidRPr="00233141" w:rsidRDefault="0055346E" w:rsidP="00AC7F3D">
            <w:pPr>
              <w:spacing w:before="100" w:beforeAutospacing="1" w:after="100" w:afterAutospacing="1"/>
              <w:rPr>
                <w:rFonts w:ascii="Arial" w:hAnsi="Arial" w:cs="Arial"/>
                <w:color w:val="000000"/>
                <w:sz w:val="24"/>
              </w:rPr>
            </w:pPr>
            <w:r w:rsidRPr="00233141">
              <w:rPr>
                <w:rFonts w:ascii="Arial" w:hAnsi="Arial" w:cs="Arial"/>
                <w:color w:val="000000"/>
                <w:sz w:val="24"/>
              </w:rPr>
              <w:t xml:space="preserve">Arson </w:t>
            </w:r>
          </w:p>
        </w:tc>
        <w:tc>
          <w:tcPr>
            <w:tcW w:w="797" w:type="dxa"/>
          </w:tcPr>
          <w:p w:rsidR="0055346E" w:rsidRPr="00233141" w:rsidRDefault="0055346E" w:rsidP="00AC7F3D">
            <w:pPr>
              <w:spacing w:before="100" w:beforeAutospacing="1" w:after="100" w:afterAutospacing="1"/>
              <w:rPr>
                <w:rFonts w:ascii="Arial" w:hAnsi="Arial" w:cs="Arial"/>
                <w:color w:val="000000"/>
                <w:sz w:val="24"/>
              </w:rPr>
            </w:pPr>
            <w:r>
              <w:rPr>
                <w:rFonts w:ascii="Arial" w:hAnsi="Arial" w:cs="Arial"/>
                <w:color w:val="000000"/>
                <w:sz w:val="24"/>
              </w:rPr>
              <w:t>9</w:t>
            </w:r>
          </w:p>
        </w:tc>
      </w:tr>
      <w:tr w:rsidR="0055346E" w:rsidRPr="00233141" w:rsidTr="0055346E">
        <w:trPr>
          <w:jc w:val="center"/>
        </w:trPr>
        <w:tc>
          <w:tcPr>
            <w:tcW w:w="5983" w:type="dxa"/>
          </w:tcPr>
          <w:p w:rsidR="0055346E" w:rsidRPr="00233141" w:rsidRDefault="0055346E" w:rsidP="00AC7F3D">
            <w:pPr>
              <w:spacing w:before="100" w:beforeAutospacing="1" w:after="100" w:afterAutospacing="1"/>
              <w:rPr>
                <w:rFonts w:ascii="Arial" w:hAnsi="Arial" w:cs="Arial"/>
                <w:color w:val="000000"/>
                <w:sz w:val="24"/>
              </w:rPr>
            </w:pPr>
            <w:r w:rsidRPr="00233141">
              <w:rPr>
                <w:rFonts w:ascii="Arial" w:hAnsi="Arial" w:cs="Arial"/>
                <w:color w:val="000000"/>
                <w:sz w:val="24"/>
              </w:rPr>
              <w:t>Rape / attempted rape</w:t>
            </w:r>
          </w:p>
        </w:tc>
        <w:tc>
          <w:tcPr>
            <w:tcW w:w="797" w:type="dxa"/>
          </w:tcPr>
          <w:p w:rsidR="0055346E" w:rsidRPr="00233141" w:rsidRDefault="0055346E" w:rsidP="00AC7F3D">
            <w:pPr>
              <w:spacing w:before="100" w:beforeAutospacing="1" w:after="100" w:afterAutospacing="1"/>
              <w:rPr>
                <w:rFonts w:ascii="Arial" w:hAnsi="Arial" w:cs="Arial"/>
                <w:color w:val="000000"/>
                <w:sz w:val="24"/>
              </w:rPr>
            </w:pPr>
            <w:r w:rsidRPr="00233141">
              <w:rPr>
                <w:rFonts w:ascii="Arial" w:hAnsi="Arial" w:cs="Arial"/>
                <w:color w:val="000000"/>
                <w:sz w:val="24"/>
              </w:rPr>
              <w:t>8</w:t>
            </w:r>
          </w:p>
        </w:tc>
      </w:tr>
      <w:tr w:rsidR="00F150F0" w:rsidRPr="00233141" w:rsidTr="0055346E">
        <w:trPr>
          <w:jc w:val="center"/>
        </w:trPr>
        <w:tc>
          <w:tcPr>
            <w:tcW w:w="5983" w:type="dxa"/>
          </w:tcPr>
          <w:p w:rsidR="00F150F0" w:rsidRPr="007437FA" w:rsidRDefault="00F150F0" w:rsidP="00AC7F3D">
            <w:pPr>
              <w:spacing w:before="100" w:beforeAutospacing="1" w:after="100" w:afterAutospacing="1"/>
              <w:rPr>
                <w:rFonts w:ascii="Arial" w:hAnsi="Arial" w:cs="Arial"/>
                <w:color w:val="000000"/>
                <w:sz w:val="24"/>
              </w:rPr>
            </w:pPr>
            <w:r w:rsidRPr="007437FA">
              <w:rPr>
                <w:rFonts w:ascii="Arial" w:hAnsi="Arial" w:cs="Arial"/>
                <w:color w:val="000000"/>
                <w:sz w:val="24"/>
              </w:rPr>
              <w:t>Business robbery</w:t>
            </w:r>
          </w:p>
        </w:tc>
        <w:tc>
          <w:tcPr>
            <w:tcW w:w="797" w:type="dxa"/>
          </w:tcPr>
          <w:p w:rsidR="00F150F0" w:rsidRPr="007437FA" w:rsidRDefault="00F150F0" w:rsidP="00AC7F3D">
            <w:pPr>
              <w:spacing w:before="100" w:beforeAutospacing="1" w:after="100" w:afterAutospacing="1"/>
              <w:rPr>
                <w:rFonts w:ascii="Arial" w:hAnsi="Arial" w:cs="Arial"/>
                <w:color w:val="000000"/>
                <w:sz w:val="24"/>
              </w:rPr>
            </w:pPr>
            <w:r w:rsidRPr="007437FA">
              <w:rPr>
                <w:rFonts w:ascii="Arial" w:hAnsi="Arial" w:cs="Arial"/>
                <w:color w:val="000000"/>
                <w:sz w:val="24"/>
              </w:rPr>
              <w:t>6</w:t>
            </w:r>
          </w:p>
        </w:tc>
      </w:tr>
      <w:tr w:rsidR="0055346E" w:rsidRPr="00233141" w:rsidTr="0055346E">
        <w:trPr>
          <w:jc w:val="center"/>
        </w:trPr>
        <w:tc>
          <w:tcPr>
            <w:tcW w:w="5983" w:type="dxa"/>
          </w:tcPr>
          <w:p w:rsidR="0055346E" w:rsidRPr="00233141" w:rsidRDefault="0055346E" w:rsidP="00AC7F3D">
            <w:pPr>
              <w:spacing w:before="100" w:beforeAutospacing="1" w:after="100" w:afterAutospacing="1"/>
              <w:rPr>
                <w:rFonts w:ascii="Arial" w:hAnsi="Arial" w:cs="Arial"/>
                <w:color w:val="000000"/>
                <w:sz w:val="24"/>
              </w:rPr>
            </w:pPr>
            <w:r>
              <w:rPr>
                <w:rFonts w:ascii="Arial" w:hAnsi="Arial" w:cs="Arial"/>
                <w:color w:val="000000"/>
                <w:sz w:val="24"/>
              </w:rPr>
              <w:t>O</w:t>
            </w:r>
            <w:r w:rsidRPr="00233141">
              <w:rPr>
                <w:rFonts w:ascii="Arial" w:hAnsi="Arial" w:cs="Arial"/>
                <w:color w:val="000000"/>
                <w:sz w:val="24"/>
              </w:rPr>
              <w:t>ther</w:t>
            </w:r>
            <w:r>
              <w:rPr>
                <w:rFonts w:ascii="Arial" w:hAnsi="Arial" w:cs="Arial"/>
                <w:color w:val="000000"/>
                <w:sz w:val="24"/>
              </w:rPr>
              <w:t xml:space="preserve"> crimes</w:t>
            </w:r>
          </w:p>
        </w:tc>
        <w:tc>
          <w:tcPr>
            <w:tcW w:w="797" w:type="dxa"/>
          </w:tcPr>
          <w:p w:rsidR="0055346E" w:rsidRPr="00233141" w:rsidRDefault="0055346E" w:rsidP="00AC7F3D">
            <w:pPr>
              <w:spacing w:before="100" w:beforeAutospacing="1" w:after="100" w:afterAutospacing="1"/>
              <w:rPr>
                <w:rFonts w:ascii="Arial" w:hAnsi="Arial" w:cs="Arial"/>
                <w:color w:val="000000"/>
                <w:sz w:val="24"/>
              </w:rPr>
            </w:pPr>
            <w:r>
              <w:rPr>
                <w:rFonts w:ascii="Arial" w:hAnsi="Arial" w:cs="Arial"/>
                <w:color w:val="000000"/>
                <w:sz w:val="24"/>
              </w:rPr>
              <w:t>17</w:t>
            </w:r>
          </w:p>
        </w:tc>
      </w:tr>
      <w:tr w:rsidR="00F150F0" w:rsidRPr="00233141" w:rsidTr="0055346E">
        <w:trPr>
          <w:jc w:val="center"/>
        </w:trPr>
        <w:tc>
          <w:tcPr>
            <w:tcW w:w="5983" w:type="dxa"/>
          </w:tcPr>
          <w:p w:rsidR="00F150F0" w:rsidRPr="00233141" w:rsidRDefault="00F150F0" w:rsidP="00AC7F3D">
            <w:pPr>
              <w:spacing w:before="100" w:beforeAutospacing="1" w:after="100" w:afterAutospacing="1"/>
              <w:jc w:val="right"/>
              <w:rPr>
                <w:rFonts w:ascii="Arial" w:hAnsi="Arial" w:cs="Arial"/>
                <w:color w:val="000000"/>
                <w:sz w:val="24"/>
              </w:rPr>
            </w:pPr>
            <w:r>
              <w:rPr>
                <w:rFonts w:ascii="Arial" w:hAnsi="Arial" w:cs="Arial"/>
                <w:color w:val="000000"/>
                <w:sz w:val="24"/>
              </w:rPr>
              <w:t>Total</w:t>
            </w:r>
          </w:p>
        </w:tc>
        <w:tc>
          <w:tcPr>
            <w:tcW w:w="797" w:type="dxa"/>
          </w:tcPr>
          <w:p w:rsidR="00F150F0" w:rsidRPr="00233141" w:rsidRDefault="00F150F0" w:rsidP="00AC7F3D">
            <w:pPr>
              <w:spacing w:before="100" w:beforeAutospacing="1" w:after="100" w:afterAutospacing="1"/>
              <w:rPr>
                <w:rFonts w:ascii="Arial" w:hAnsi="Arial" w:cs="Arial"/>
                <w:color w:val="000000"/>
                <w:sz w:val="24"/>
              </w:rPr>
            </w:pPr>
            <w:r>
              <w:rPr>
                <w:rFonts w:ascii="Arial" w:hAnsi="Arial" w:cs="Arial"/>
                <w:color w:val="000000"/>
                <w:sz w:val="24"/>
              </w:rPr>
              <w:t>597</w:t>
            </w:r>
          </w:p>
        </w:tc>
      </w:tr>
    </w:tbl>
    <w:p w:rsidR="00F150F0" w:rsidRPr="00AC7F3D" w:rsidRDefault="00F150F0" w:rsidP="00003B61">
      <w:pPr>
        <w:spacing w:line="360" w:lineRule="auto"/>
        <w:ind w:left="1135"/>
        <w:jc w:val="both"/>
        <w:rPr>
          <w:rFonts w:ascii="Arial" w:hAnsi="Arial" w:cs="Arial"/>
          <w:color w:val="000000"/>
          <w:sz w:val="24"/>
          <w:szCs w:val="24"/>
        </w:rPr>
      </w:pPr>
    </w:p>
    <w:sectPr w:rsidR="00F150F0" w:rsidRPr="00AC7F3D" w:rsidSect="00640539">
      <w:footerReference w:type="default" r:id="rId8"/>
      <w:pgSz w:w="11907" w:h="16839" w:code="9"/>
      <w:pgMar w:top="1440" w:right="1440" w:bottom="851"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27E" w:rsidRDefault="00C2427E" w:rsidP="00831541">
      <w:pPr>
        <w:spacing w:after="0" w:line="240" w:lineRule="auto"/>
      </w:pPr>
      <w:r>
        <w:separator/>
      </w:r>
    </w:p>
  </w:endnote>
  <w:endnote w:type="continuationSeparator" w:id="0">
    <w:p w:rsidR="00C2427E" w:rsidRDefault="00C2427E" w:rsidP="00831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09" w:rsidRDefault="00495409">
    <w:pPr>
      <w:pStyle w:val="Footer"/>
      <w:jc w:val="right"/>
    </w:pPr>
    <w:fldSimple w:instr=" PAGE   \* MERGEFORMAT ">
      <w:r w:rsidR="00BB7F8B">
        <w:rPr>
          <w:noProof/>
        </w:rPr>
        <w:t>2</w:t>
      </w:r>
    </w:fldSimple>
  </w:p>
  <w:p w:rsidR="00831541" w:rsidRDefault="00831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27E" w:rsidRDefault="00C2427E" w:rsidP="00831541">
      <w:pPr>
        <w:spacing w:after="0" w:line="240" w:lineRule="auto"/>
      </w:pPr>
      <w:r>
        <w:separator/>
      </w:r>
    </w:p>
  </w:footnote>
  <w:footnote w:type="continuationSeparator" w:id="0">
    <w:p w:rsidR="00C2427E" w:rsidRDefault="00C2427E" w:rsidP="00831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8206D"/>
    <w:multiLevelType w:val="hybridMultilevel"/>
    <w:tmpl w:val="1ADE1434"/>
    <w:lvl w:ilvl="0" w:tplc="82C2F194">
      <w:start w:val="1"/>
      <w:numFmt w:val="lowerRoman"/>
      <w:lvlText w:val="(%1)"/>
      <w:lvlJc w:val="left"/>
      <w:pPr>
        <w:ind w:left="1855" w:hanging="720"/>
      </w:pPr>
      <w:rPr>
        <w:rFonts w:hint="default"/>
        <w:i w:val="0"/>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1">
    <w:nsid w:val="287F3F56"/>
    <w:multiLevelType w:val="hybridMultilevel"/>
    <w:tmpl w:val="34342B66"/>
    <w:lvl w:ilvl="0" w:tplc="3F74C208">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32243FD5"/>
    <w:multiLevelType w:val="hybridMultilevel"/>
    <w:tmpl w:val="C3DE8DB8"/>
    <w:lvl w:ilvl="0" w:tplc="3C68B912">
      <w:start w:val="1"/>
      <w:numFmt w:val="decimal"/>
      <w:lvlText w:val="(%1)"/>
      <w:lvlJc w:val="left"/>
      <w:pPr>
        <w:ind w:left="720" w:hanging="360"/>
      </w:pPr>
      <w:rPr>
        <w:rFonts w:ascii="Arial" w:eastAsia="Calibri" w:hAnsi="Arial" w:cs="Arial"/>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3E267EEE"/>
    <w:multiLevelType w:val="hybridMultilevel"/>
    <w:tmpl w:val="DC82EBFC"/>
    <w:lvl w:ilvl="0" w:tplc="CE24DC8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115CD3"/>
    <w:multiLevelType w:val="hybridMultilevel"/>
    <w:tmpl w:val="A3603686"/>
    <w:lvl w:ilvl="0" w:tplc="04090017">
      <w:start w:val="1"/>
      <w:numFmt w:val="lowerLetter"/>
      <w:lvlText w:val="%1)"/>
      <w:lvlJc w:val="left"/>
      <w:pPr>
        <w:ind w:left="1065" w:hanging="360"/>
      </w:pPr>
    </w:lvl>
    <w:lvl w:ilvl="1" w:tplc="1C090019">
      <w:start w:val="1"/>
      <w:numFmt w:val="lowerLetter"/>
      <w:lvlText w:val="%2."/>
      <w:lvlJc w:val="left"/>
      <w:pPr>
        <w:ind w:left="1785" w:hanging="360"/>
      </w:pPr>
    </w:lvl>
    <w:lvl w:ilvl="2" w:tplc="1C09001B">
      <w:start w:val="1"/>
      <w:numFmt w:val="lowerRoman"/>
      <w:lvlText w:val="%3."/>
      <w:lvlJc w:val="right"/>
      <w:pPr>
        <w:ind w:left="2505" w:hanging="180"/>
      </w:pPr>
    </w:lvl>
    <w:lvl w:ilvl="3" w:tplc="1C09000F">
      <w:start w:val="1"/>
      <w:numFmt w:val="decimal"/>
      <w:lvlText w:val="%4."/>
      <w:lvlJc w:val="left"/>
      <w:pPr>
        <w:ind w:left="3225" w:hanging="360"/>
      </w:pPr>
    </w:lvl>
    <w:lvl w:ilvl="4" w:tplc="1C090019">
      <w:start w:val="1"/>
      <w:numFmt w:val="lowerLetter"/>
      <w:lvlText w:val="%5."/>
      <w:lvlJc w:val="left"/>
      <w:pPr>
        <w:ind w:left="3945" w:hanging="360"/>
      </w:pPr>
    </w:lvl>
    <w:lvl w:ilvl="5" w:tplc="1C09001B">
      <w:start w:val="1"/>
      <w:numFmt w:val="lowerRoman"/>
      <w:lvlText w:val="%6."/>
      <w:lvlJc w:val="right"/>
      <w:pPr>
        <w:ind w:left="4665" w:hanging="180"/>
      </w:pPr>
    </w:lvl>
    <w:lvl w:ilvl="6" w:tplc="1C09000F">
      <w:start w:val="1"/>
      <w:numFmt w:val="decimal"/>
      <w:lvlText w:val="%7."/>
      <w:lvlJc w:val="left"/>
      <w:pPr>
        <w:ind w:left="5385" w:hanging="360"/>
      </w:pPr>
    </w:lvl>
    <w:lvl w:ilvl="7" w:tplc="1C090019">
      <w:start w:val="1"/>
      <w:numFmt w:val="lowerLetter"/>
      <w:lvlText w:val="%8."/>
      <w:lvlJc w:val="left"/>
      <w:pPr>
        <w:ind w:left="6105" w:hanging="360"/>
      </w:pPr>
    </w:lvl>
    <w:lvl w:ilvl="8" w:tplc="1C09001B">
      <w:start w:val="1"/>
      <w:numFmt w:val="lowerRoman"/>
      <w:lvlText w:val="%9."/>
      <w:lvlJc w:val="right"/>
      <w:pPr>
        <w:ind w:left="6825" w:hanging="180"/>
      </w:pPr>
    </w:lvl>
  </w:abstractNum>
  <w:abstractNum w:abstractNumId="5">
    <w:nsid w:val="78121441"/>
    <w:multiLevelType w:val="hybridMultilevel"/>
    <w:tmpl w:val="681E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EE4D64"/>
    <w:multiLevelType w:val="hybridMultilevel"/>
    <w:tmpl w:val="BC605276"/>
    <w:lvl w:ilvl="0" w:tplc="2C14848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7FE01545"/>
    <w:multiLevelType w:val="hybridMultilevel"/>
    <w:tmpl w:val="FD5C6996"/>
    <w:lvl w:ilvl="0" w:tplc="4BA6717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5"/>
  </w:num>
  <w:num w:numId="3">
    <w:abstractNumId w:val="2"/>
    <w:lvlOverride w:ilvl="0"/>
    <w:lvlOverride w:ilvl="1"/>
    <w:lvlOverride w:ilvl="2"/>
    <w:lvlOverride w:ilvl="3"/>
    <w:lvlOverride w:ilvl="4"/>
    <w:lvlOverride w:ilvl="5"/>
    <w:lvlOverride w:ilvl="6"/>
    <w:lvlOverride w:ilvl="7"/>
    <w:lvlOverride w:ilvl="8"/>
  </w:num>
  <w:num w:numId="4">
    <w:abstractNumId w:val="2"/>
  </w:num>
  <w:num w:numId="5">
    <w:abstractNumId w:val="7"/>
  </w:num>
  <w:num w:numId="6">
    <w:abstractNumId w:val="6"/>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84D31"/>
    <w:rsid w:val="00003B61"/>
    <w:rsid w:val="00013AC8"/>
    <w:rsid w:val="000309B7"/>
    <w:rsid w:val="00044F0F"/>
    <w:rsid w:val="0006246C"/>
    <w:rsid w:val="000B5E4C"/>
    <w:rsid w:val="000D2106"/>
    <w:rsid w:val="000D56ED"/>
    <w:rsid w:val="001204FC"/>
    <w:rsid w:val="00135605"/>
    <w:rsid w:val="001616B6"/>
    <w:rsid w:val="001E4E0F"/>
    <w:rsid w:val="00221181"/>
    <w:rsid w:val="00225469"/>
    <w:rsid w:val="00242EE4"/>
    <w:rsid w:val="002A1E37"/>
    <w:rsid w:val="002B5FE2"/>
    <w:rsid w:val="002E70A4"/>
    <w:rsid w:val="002F0AF6"/>
    <w:rsid w:val="002F2375"/>
    <w:rsid w:val="002F7362"/>
    <w:rsid w:val="00316624"/>
    <w:rsid w:val="00320AD1"/>
    <w:rsid w:val="003413C0"/>
    <w:rsid w:val="00345ED1"/>
    <w:rsid w:val="00371909"/>
    <w:rsid w:val="00395569"/>
    <w:rsid w:val="003C1E8C"/>
    <w:rsid w:val="003D3CFB"/>
    <w:rsid w:val="003E3210"/>
    <w:rsid w:val="003F76F1"/>
    <w:rsid w:val="0041171F"/>
    <w:rsid w:val="00434318"/>
    <w:rsid w:val="00435261"/>
    <w:rsid w:val="00436290"/>
    <w:rsid w:val="004606C2"/>
    <w:rsid w:val="00473C8B"/>
    <w:rsid w:val="00492EB7"/>
    <w:rsid w:val="00494A50"/>
    <w:rsid w:val="00495409"/>
    <w:rsid w:val="004A799D"/>
    <w:rsid w:val="004B5E4A"/>
    <w:rsid w:val="004C7A99"/>
    <w:rsid w:val="00506337"/>
    <w:rsid w:val="00515A66"/>
    <w:rsid w:val="00534B65"/>
    <w:rsid w:val="0055346E"/>
    <w:rsid w:val="00566436"/>
    <w:rsid w:val="005706D7"/>
    <w:rsid w:val="00583F2E"/>
    <w:rsid w:val="00594482"/>
    <w:rsid w:val="005A186A"/>
    <w:rsid w:val="005D2F62"/>
    <w:rsid w:val="005D6080"/>
    <w:rsid w:val="005F0B68"/>
    <w:rsid w:val="006026CA"/>
    <w:rsid w:val="00640539"/>
    <w:rsid w:val="006649B5"/>
    <w:rsid w:val="00691D0A"/>
    <w:rsid w:val="00695FBB"/>
    <w:rsid w:val="0069796C"/>
    <w:rsid w:val="006C73E5"/>
    <w:rsid w:val="00712A68"/>
    <w:rsid w:val="0073385E"/>
    <w:rsid w:val="00745EBA"/>
    <w:rsid w:val="00751118"/>
    <w:rsid w:val="00757637"/>
    <w:rsid w:val="007578FD"/>
    <w:rsid w:val="007A4293"/>
    <w:rsid w:val="007B28EF"/>
    <w:rsid w:val="007B5B61"/>
    <w:rsid w:val="007D055E"/>
    <w:rsid w:val="007D51B0"/>
    <w:rsid w:val="007D6C82"/>
    <w:rsid w:val="00800F82"/>
    <w:rsid w:val="00822625"/>
    <w:rsid w:val="00831541"/>
    <w:rsid w:val="0083265F"/>
    <w:rsid w:val="00856036"/>
    <w:rsid w:val="00867D85"/>
    <w:rsid w:val="00870214"/>
    <w:rsid w:val="008F3A61"/>
    <w:rsid w:val="00902285"/>
    <w:rsid w:val="00931A1E"/>
    <w:rsid w:val="00932115"/>
    <w:rsid w:val="00942C05"/>
    <w:rsid w:val="009457CB"/>
    <w:rsid w:val="00970649"/>
    <w:rsid w:val="00984D31"/>
    <w:rsid w:val="009A156E"/>
    <w:rsid w:val="009B4A8B"/>
    <w:rsid w:val="00A11322"/>
    <w:rsid w:val="00AB7934"/>
    <w:rsid w:val="00AC7F3D"/>
    <w:rsid w:val="00AE0295"/>
    <w:rsid w:val="00B01C93"/>
    <w:rsid w:val="00B1446C"/>
    <w:rsid w:val="00B26118"/>
    <w:rsid w:val="00B45C93"/>
    <w:rsid w:val="00B54493"/>
    <w:rsid w:val="00B66466"/>
    <w:rsid w:val="00B96EAD"/>
    <w:rsid w:val="00B97390"/>
    <w:rsid w:val="00BB2E48"/>
    <w:rsid w:val="00BB7F8B"/>
    <w:rsid w:val="00BC65BE"/>
    <w:rsid w:val="00BC7641"/>
    <w:rsid w:val="00BE130A"/>
    <w:rsid w:val="00BF6BB2"/>
    <w:rsid w:val="00C00762"/>
    <w:rsid w:val="00C03E30"/>
    <w:rsid w:val="00C12629"/>
    <w:rsid w:val="00C150C2"/>
    <w:rsid w:val="00C223B9"/>
    <w:rsid w:val="00C228CB"/>
    <w:rsid w:val="00C2427E"/>
    <w:rsid w:val="00C25383"/>
    <w:rsid w:val="00C318E8"/>
    <w:rsid w:val="00CA5E0C"/>
    <w:rsid w:val="00CB0D56"/>
    <w:rsid w:val="00CB6D4C"/>
    <w:rsid w:val="00CC7970"/>
    <w:rsid w:val="00CD1528"/>
    <w:rsid w:val="00CD3951"/>
    <w:rsid w:val="00D07D9F"/>
    <w:rsid w:val="00D1373A"/>
    <w:rsid w:val="00D33FF4"/>
    <w:rsid w:val="00D65B9E"/>
    <w:rsid w:val="00D70E7B"/>
    <w:rsid w:val="00D72858"/>
    <w:rsid w:val="00D8322B"/>
    <w:rsid w:val="00D96C7C"/>
    <w:rsid w:val="00DA3446"/>
    <w:rsid w:val="00DC7BB2"/>
    <w:rsid w:val="00DD4206"/>
    <w:rsid w:val="00E123BC"/>
    <w:rsid w:val="00E12C88"/>
    <w:rsid w:val="00E43E03"/>
    <w:rsid w:val="00E53D25"/>
    <w:rsid w:val="00E60C23"/>
    <w:rsid w:val="00E94EE5"/>
    <w:rsid w:val="00EA5626"/>
    <w:rsid w:val="00ED2AB2"/>
    <w:rsid w:val="00F150F0"/>
    <w:rsid w:val="00F17998"/>
    <w:rsid w:val="00F41E5C"/>
    <w:rsid w:val="00F57DA4"/>
    <w:rsid w:val="00F80F17"/>
    <w:rsid w:val="00FA2D97"/>
    <w:rsid w:val="00FA7A28"/>
    <w:rsid w:val="00FC395F"/>
    <w:rsid w:val="00FD3A52"/>
    <w:rsid w:val="00FF2BE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D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D31"/>
    <w:rPr>
      <w:rFonts w:ascii="Tahoma" w:hAnsi="Tahoma" w:cs="Tahoma"/>
      <w:sz w:val="16"/>
      <w:szCs w:val="16"/>
    </w:rPr>
  </w:style>
  <w:style w:type="paragraph" w:styleId="Header">
    <w:name w:val="header"/>
    <w:basedOn w:val="Normal"/>
    <w:link w:val="HeaderChar"/>
    <w:uiPriority w:val="99"/>
    <w:unhideWhenUsed/>
    <w:rsid w:val="00831541"/>
    <w:pPr>
      <w:tabs>
        <w:tab w:val="center" w:pos="4680"/>
        <w:tab w:val="right" w:pos="9360"/>
      </w:tabs>
    </w:pPr>
  </w:style>
  <w:style w:type="character" w:customStyle="1" w:styleId="HeaderChar">
    <w:name w:val="Header Char"/>
    <w:link w:val="Header"/>
    <w:uiPriority w:val="99"/>
    <w:rsid w:val="00831541"/>
    <w:rPr>
      <w:sz w:val="22"/>
      <w:szCs w:val="22"/>
    </w:rPr>
  </w:style>
  <w:style w:type="paragraph" w:styleId="Footer">
    <w:name w:val="footer"/>
    <w:basedOn w:val="Normal"/>
    <w:link w:val="FooterChar"/>
    <w:uiPriority w:val="99"/>
    <w:unhideWhenUsed/>
    <w:rsid w:val="00831541"/>
    <w:pPr>
      <w:tabs>
        <w:tab w:val="center" w:pos="4680"/>
        <w:tab w:val="right" w:pos="9360"/>
      </w:tabs>
    </w:pPr>
  </w:style>
  <w:style w:type="character" w:customStyle="1" w:styleId="FooterChar">
    <w:name w:val="Footer Char"/>
    <w:link w:val="Footer"/>
    <w:uiPriority w:val="99"/>
    <w:rsid w:val="00831541"/>
    <w:rPr>
      <w:sz w:val="22"/>
      <w:szCs w:val="22"/>
    </w:rPr>
  </w:style>
  <w:style w:type="paragraph" w:styleId="ListParagraph">
    <w:name w:val="List Paragraph"/>
    <w:basedOn w:val="Normal"/>
    <w:uiPriority w:val="34"/>
    <w:qFormat/>
    <w:rsid w:val="00CC7970"/>
    <w:pPr>
      <w:ind w:left="720"/>
      <w:contextualSpacing/>
    </w:pPr>
  </w:style>
  <w:style w:type="paragraph" w:styleId="BodyTextIndent2">
    <w:name w:val="Body Text Indent 2"/>
    <w:basedOn w:val="Normal"/>
    <w:link w:val="BodyTextIndent2Char"/>
    <w:rsid w:val="00B97390"/>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link w:val="BodyTextIndent2"/>
    <w:rsid w:val="00B97390"/>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591400072">
      <w:bodyDiv w:val="1"/>
      <w:marLeft w:val="0"/>
      <w:marRight w:val="0"/>
      <w:marTop w:val="0"/>
      <w:marBottom w:val="0"/>
      <w:divBdr>
        <w:top w:val="none" w:sz="0" w:space="0" w:color="auto"/>
        <w:left w:val="none" w:sz="0" w:space="0" w:color="auto"/>
        <w:bottom w:val="none" w:sz="0" w:space="0" w:color="auto"/>
        <w:right w:val="none" w:sz="0" w:space="0" w:color="auto"/>
      </w:divBdr>
    </w:div>
    <w:div w:id="1613436288">
      <w:bodyDiv w:val="1"/>
      <w:marLeft w:val="0"/>
      <w:marRight w:val="0"/>
      <w:marTop w:val="0"/>
      <w:marBottom w:val="0"/>
      <w:divBdr>
        <w:top w:val="none" w:sz="0" w:space="0" w:color="auto"/>
        <w:left w:val="none" w:sz="0" w:space="0" w:color="auto"/>
        <w:bottom w:val="none" w:sz="0" w:space="0" w:color="auto"/>
        <w:right w:val="none" w:sz="0" w:space="0" w:color="auto"/>
      </w:divBdr>
    </w:div>
    <w:div w:id="17569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Gresse Annelette</dc:creator>
  <cp:lastModifiedBy>PUMZA</cp:lastModifiedBy>
  <cp:revision>2</cp:revision>
  <cp:lastPrinted>2015-08-24T10:57:00Z</cp:lastPrinted>
  <dcterms:created xsi:type="dcterms:W3CDTF">2015-09-03T09:50:00Z</dcterms:created>
  <dcterms:modified xsi:type="dcterms:W3CDTF">2015-09-03T09:50:00Z</dcterms:modified>
</cp:coreProperties>
</file>