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A122B4" w:rsidRDefault="00B26F97" w:rsidP="00A122B4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122B4" w:rsidRDefault="00A122B4" w:rsidP="00A122B4">
      <w:pPr>
        <w:outlineLvl w:val="0"/>
        <w:rPr>
          <w:rFonts w:ascii="Arial" w:hAnsi="Arial" w:cs="Arial"/>
          <w:b/>
          <w:lang w:val="en-GB"/>
        </w:rPr>
      </w:pPr>
    </w:p>
    <w:p w:rsidR="00A122B4" w:rsidRPr="00500CCB" w:rsidRDefault="00A122B4" w:rsidP="00A122B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00CCB">
        <w:rPr>
          <w:rFonts w:ascii="Arial" w:hAnsi="Arial" w:cs="Arial"/>
          <w:b/>
          <w:lang w:val="en-GB"/>
        </w:rPr>
        <w:t>36/1/4/1/201700328</w:t>
      </w:r>
    </w:p>
    <w:p w:rsidR="00A122B4" w:rsidRPr="00500CCB" w:rsidRDefault="00A122B4" w:rsidP="00A122B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00CCB">
        <w:rPr>
          <w:rFonts w:ascii="Arial" w:hAnsi="Arial" w:cs="Arial"/>
          <w:b/>
          <w:lang w:val="en-GB"/>
        </w:rPr>
        <w:t>NATIONAL ASSEMBLY</w:t>
      </w:r>
    </w:p>
    <w:p w:rsidR="00A122B4" w:rsidRPr="00500CCB" w:rsidRDefault="00A122B4" w:rsidP="00A122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122B4" w:rsidRPr="00500CCB" w:rsidRDefault="00A122B4" w:rsidP="00A122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00CCB">
        <w:rPr>
          <w:rFonts w:ascii="Arial" w:hAnsi="Arial" w:cs="Arial"/>
          <w:b/>
          <w:u w:val="single"/>
          <w:lang w:val="en-GB"/>
        </w:rPr>
        <w:t>FOR WRITTEN REPLY</w:t>
      </w:r>
    </w:p>
    <w:p w:rsidR="00A122B4" w:rsidRPr="00500CCB" w:rsidRDefault="00A122B4" w:rsidP="00A122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122B4" w:rsidRPr="00500CCB" w:rsidRDefault="00A122B4" w:rsidP="00A122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00CCB">
        <w:rPr>
          <w:rFonts w:ascii="Arial" w:hAnsi="Arial" w:cs="Arial"/>
          <w:b/>
          <w:u w:val="single"/>
          <w:lang w:val="en-GB"/>
        </w:rPr>
        <w:t>QUESTION 2827</w:t>
      </w:r>
    </w:p>
    <w:p w:rsidR="00A122B4" w:rsidRPr="00500CCB" w:rsidRDefault="00A122B4" w:rsidP="00A122B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122B4" w:rsidRPr="00500CCB" w:rsidRDefault="00A122B4" w:rsidP="00A122B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00CCB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A122B4" w:rsidRPr="00500CCB" w:rsidRDefault="00A122B4" w:rsidP="00A122B4">
      <w:pPr>
        <w:jc w:val="center"/>
        <w:rPr>
          <w:rFonts w:ascii="Arial" w:hAnsi="Arial" w:cs="Arial"/>
          <w:b/>
          <w:u w:val="single"/>
          <w:lang w:val="en-GB"/>
        </w:rPr>
      </w:pPr>
      <w:r w:rsidRPr="00500CCB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A122B4" w:rsidRPr="00500CCB" w:rsidRDefault="00A122B4" w:rsidP="00A122B4">
      <w:pPr>
        <w:ind w:left="851" w:hanging="851"/>
        <w:jc w:val="both"/>
        <w:rPr>
          <w:rFonts w:ascii="Arial" w:hAnsi="Arial" w:cs="Arial"/>
          <w:b/>
        </w:rPr>
      </w:pPr>
    </w:p>
    <w:p w:rsidR="00A122B4" w:rsidRPr="00500CCB" w:rsidRDefault="00A122B4" w:rsidP="00A122B4">
      <w:pPr>
        <w:ind w:left="851" w:hanging="851"/>
        <w:jc w:val="both"/>
        <w:rPr>
          <w:rFonts w:ascii="Arial" w:hAnsi="Arial" w:cs="Arial"/>
          <w:b/>
        </w:rPr>
      </w:pPr>
      <w:r w:rsidRPr="00500CCB">
        <w:rPr>
          <w:rFonts w:ascii="Arial" w:hAnsi="Arial" w:cs="Arial"/>
          <w:b/>
        </w:rPr>
        <w:t>2827.</w:t>
      </w:r>
      <w:r w:rsidRPr="00500CCB">
        <w:rPr>
          <w:rFonts w:ascii="Arial" w:hAnsi="Arial" w:cs="Arial"/>
          <w:b/>
        </w:rPr>
        <w:tab/>
      </w:r>
      <w:proofErr w:type="spellStart"/>
      <w:r w:rsidRPr="00500CCB">
        <w:rPr>
          <w:rFonts w:ascii="Arial" w:hAnsi="Arial" w:cs="Arial"/>
          <w:b/>
        </w:rPr>
        <w:t>Mr</w:t>
      </w:r>
      <w:proofErr w:type="spellEnd"/>
      <w:r w:rsidRPr="00500CCB">
        <w:rPr>
          <w:rFonts w:ascii="Arial" w:hAnsi="Arial" w:cs="Arial"/>
          <w:b/>
        </w:rPr>
        <w:t xml:space="preserve"> D America (DA) to ask the Minister of Police:</w:t>
      </w:r>
    </w:p>
    <w:p w:rsidR="00A122B4" w:rsidRPr="00500CCB" w:rsidRDefault="00A122B4" w:rsidP="00A122B4">
      <w:pPr>
        <w:ind w:left="629" w:hanging="629"/>
        <w:jc w:val="both"/>
        <w:rPr>
          <w:rFonts w:ascii="Arial" w:hAnsi="Arial" w:cs="Arial"/>
        </w:rPr>
      </w:pPr>
    </w:p>
    <w:p w:rsidR="00A122B4" w:rsidRPr="00500CCB" w:rsidRDefault="00A122B4" w:rsidP="00A122B4">
      <w:pPr>
        <w:ind w:left="629" w:hanging="629"/>
        <w:jc w:val="both"/>
        <w:rPr>
          <w:rFonts w:ascii="Arial" w:hAnsi="Arial" w:cs="Arial"/>
        </w:rPr>
      </w:pPr>
      <w:r w:rsidRPr="00500CCB">
        <w:rPr>
          <w:rFonts w:ascii="Arial" w:hAnsi="Arial" w:cs="Arial"/>
        </w:rPr>
        <w:t>(1)</w:t>
      </w:r>
      <w:r w:rsidRPr="00500CCB">
        <w:rPr>
          <w:rFonts w:ascii="Arial" w:hAnsi="Arial" w:cs="Arial"/>
        </w:rPr>
        <w:tab/>
        <w:t>What is the backlog in the (a) processing and (b) analysis of samples at the forensic science laboratories of the SA Police Service in each province (</w:t>
      </w:r>
      <w:proofErr w:type="spellStart"/>
      <w:r w:rsidRPr="00500CCB">
        <w:rPr>
          <w:rFonts w:ascii="Arial" w:hAnsi="Arial" w:cs="Arial"/>
        </w:rPr>
        <w:t>i</w:t>
      </w:r>
      <w:proofErr w:type="spellEnd"/>
      <w:r w:rsidRPr="00500CCB">
        <w:rPr>
          <w:rFonts w:ascii="Arial" w:hAnsi="Arial" w:cs="Arial"/>
        </w:rPr>
        <w:t>) in the (</w:t>
      </w:r>
      <w:proofErr w:type="spellStart"/>
      <w:r w:rsidRPr="00500CCB">
        <w:rPr>
          <w:rFonts w:ascii="Arial" w:hAnsi="Arial" w:cs="Arial"/>
        </w:rPr>
        <w:t>aa</w:t>
      </w:r>
      <w:proofErr w:type="spellEnd"/>
      <w:r w:rsidRPr="00500CCB">
        <w:rPr>
          <w:rFonts w:ascii="Arial" w:hAnsi="Arial" w:cs="Arial"/>
        </w:rPr>
        <w:t>) 2014-15, (bb) 2015-16 and (cc) 2016-17 financial years and (ii) since 1 April 2017;</w:t>
      </w:r>
    </w:p>
    <w:p w:rsidR="00A122B4" w:rsidRPr="00500CCB" w:rsidRDefault="00A122B4" w:rsidP="00A122B4">
      <w:pPr>
        <w:ind w:left="629" w:hanging="629"/>
        <w:jc w:val="both"/>
        <w:rPr>
          <w:rFonts w:ascii="Arial" w:hAnsi="Arial" w:cs="Arial"/>
        </w:rPr>
      </w:pPr>
    </w:p>
    <w:p w:rsidR="00A122B4" w:rsidRPr="00500CCB" w:rsidRDefault="00A122B4" w:rsidP="00A122B4">
      <w:pPr>
        <w:ind w:left="629" w:hanging="629"/>
        <w:jc w:val="both"/>
        <w:rPr>
          <w:rFonts w:ascii="Arial" w:hAnsi="Arial" w:cs="Arial"/>
        </w:rPr>
      </w:pPr>
      <w:r w:rsidRPr="00500CCB">
        <w:rPr>
          <w:rFonts w:ascii="Arial" w:hAnsi="Arial" w:cs="Arial"/>
        </w:rPr>
        <w:t>(2)</w:t>
      </w:r>
      <w:r w:rsidRPr="00500CCB">
        <w:rPr>
          <w:rFonts w:ascii="Arial" w:hAnsi="Arial" w:cs="Arial"/>
        </w:rPr>
        <w:tab/>
      </w:r>
      <w:proofErr w:type="gramStart"/>
      <w:r w:rsidRPr="00500CCB">
        <w:rPr>
          <w:rFonts w:ascii="Arial" w:hAnsi="Arial" w:cs="Arial"/>
        </w:rPr>
        <w:t>what</w:t>
      </w:r>
      <w:proofErr w:type="gramEnd"/>
      <w:r w:rsidRPr="00500CCB">
        <w:rPr>
          <w:rFonts w:ascii="Arial" w:hAnsi="Arial" w:cs="Arial"/>
        </w:rPr>
        <w:t xml:space="preserve"> (a) are the challenges experienced by his department to eliminate the backlog and (b) what steps has his department taken to address the challenges experienced?</w:t>
      </w:r>
      <w:r w:rsidRPr="00500CCB">
        <w:rPr>
          <w:rFonts w:ascii="Arial" w:hAnsi="Arial" w:cs="Arial"/>
        </w:rPr>
        <w:tab/>
      </w:r>
      <w:r w:rsidRPr="00500CCB">
        <w:rPr>
          <w:rFonts w:ascii="Arial" w:hAnsi="Arial" w:cs="Arial"/>
        </w:rPr>
        <w:tab/>
      </w:r>
      <w:r w:rsidRPr="00500CCB">
        <w:rPr>
          <w:rFonts w:ascii="Arial" w:hAnsi="Arial" w:cs="Arial"/>
        </w:rPr>
        <w:tab/>
      </w:r>
      <w:r w:rsidRPr="00500CCB">
        <w:rPr>
          <w:rFonts w:ascii="Arial" w:hAnsi="Arial" w:cs="Arial"/>
        </w:rPr>
        <w:tab/>
      </w:r>
      <w:r w:rsidRPr="00500CCB">
        <w:rPr>
          <w:rFonts w:ascii="Arial" w:hAnsi="Arial" w:cs="Arial"/>
        </w:rPr>
        <w:tab/>
      </w:r>
      <w:r w:rsidRPr="00500CCB">
        <w:rPr>
          <w:rFonts w:ascii="Arial" w:hAnsi="Arial" w:cs="Arial"/>
        </w:rPr>
        <w:tab/>
      </w:r>
    </w:p>
    <w:p w:rsidR="00A122B4" w:rsidRPr="00500CCB" w:rsidRDefault="00A122B4" w:rsidP="00A122B4">
      <w:pPr>
        <w:ind w:left="1440" w:hanging="629"/>
        <w:jc w:val="right"/>
        <w:rPr>
          <w:rFonts w:ascii="Arial" w:hAnsi="Arial" w:cs="Arial"/>
        </w:rPr>
      </w:pPr>
      <w:r w:rsidRPr="00500CCB">
        <w:rPr>
          <w:rFonts w:ascii="Arial" w:hAnsi="Arial" w:cs="Arial"/>
        </w:rPr>
        <w:t>NW3134E</w:t>
      </w:r>
    </w:p>
    <w:p w:rsidR="00A122B4" w:rsidRPr="00500CCB" w:rsidRDefault="00A122B4" w:rsidP="00A122B4">
      <w:pPr>
        <w:ind w:left="629" w:hanging="629"/>
        <w:rPr>
          <w:rFonts w:ascii="Arial" w:hAnsi="Arial" w:cs="Arial"/>
        </w:rPr>
      </w:pPr>
      <w:r w:rsidRPr="00500CCB">
        <w:rPr>
          <w:rFonts w:ascii="Arial" w:hAnsi="Arial" w:cs="Arial"/>
          <w:b/>
        </w:rPr>
        <w:t>REPLY:</w:t>
      </w:r>
    </w:p>
    <w:p w:rsidR="00A122B4" w:rsidRPr="00500CCB" w:rsidRDefault="00A122B4" w:rsidP="00A122B4">
      <w:pPr>
        <w:ind w:left="629" w:hanging="629"/>
        <w:rPr>
          <w:rFonts w:ascii="Arial" w:hAnsi="Arial" w:cs="Arial"/>
        </w:rPr>
      </w:pPr>
    </w:p>
    <w:p w:rsidR="00A122B4" w:rsidRPr="00500CCB" w:rsidRDefault="00A122B4" w:rsidP="00A122B4">
      <w:pPr>
        <w:ind w:left="720" w:hanging="720"/>
        <w:rPr>
          <w:rFonts w:ascii="Arial" w:hAnsi="Arial" w:cs="Arial"/>
          <w:noProof/>
          <w:lang w:val="af-ZA"/>
        </w:rPr>
      </w:pPr>
      <w:r w:rsidRPr="00500CCB">
        <w:rPr>
          <w:rFonts w:ascii="Arial" w:hAnsi="Arial" w:cs="Arial"/>
          <w:noProof/>
          <w:lang w:val="af-ZA"/>
        </w:rPr>
        <w:t>(1)</w:t>
      </w:r>
      <w:r>
        <w:rPr>
          <w:rFonts w:ascii="Arial" w:hAnsi="Arial" w:cs="Arial"/>
          <w:noProof/>
          <w:lang w:val="af-ZA"/>
        </w:rPr>
        <w:t>(a)(b)(i)(aa)(bb)(cc)(ii)</w:t>
      </w:r>
    </w:p>
    <w:p w:rsidR="00A122B4" w:rsidRPr="00500CCB" w:rsidRDefault="00A122B4" w:rsidP="00A122B4">
      <w:pPr>
        <w:ind w:left="851"/>
        <w:rPr>
          <w:rFonts w:ascii="Arial" w:hAnsi="Arial" w:cs="Arial"/>
          <w:noProof/>
          <w:lang w:val="af-ZA"/>
        </w:rPr>
      </w:pPr>
    </w:p>
    <w:tbl>
      <w:tblPr>
        <w:tblStyle w:val="TableGrid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276"/>
        <w:gridCol w:w="1842"/>
      </w:tblGrid>
      <w:tr w:rsidR="00A122B4" w:rsidRPr="00500CCB" w:rsidTr="00EF23BD">
        <w:trPr>
          <w:gridAfter w:val="4"/>
          <w:wAfter w:w="5670" w:type="dxa"/>
          <w:trHeight w:val="230"/>
        </w:trPr>
        <w:tc>
          <w:tcPr>
            <w:tcW w:w="2693" w:type="dxa"/>
            <w:vMerge w:val="restart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 xml:space="preserve">SAPS </w:t>
            </w:r>
          </w:p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FORENSIC SCIENCE LABORATORIES</w:t>
            </w:r>
          </w:p>
        </w:tc>
      </w:tr>
      <w:tr w:rsidR="00A122B4" w:rsidRPr="00500CCB" w:rsidTr="00EF23BD">
        <w:tc>
          <w:tcPr>
            <w:tcW w:w="2693" w:type="dxa"/>
            <w:vMerge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5670" w:type="dxa"/>
            <w:gridSpan w:val="4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ENTRIES</w:t>
            </w:r>
          </w:p>
        </w:tc>
      </w:tr>
      <w:tr w:rsidR="00A122B4" w:rsidRPr="00500CCB" w:rsidTr="00EF23BD">
        <w:tc>
          <w:tcPr>
            <w:tcW w:w="2693" w:type="dxa"/>
            <w:vMerge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 (aa)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 (bb)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(i) (cc)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(ii)</w:t>
            </w:r>
          </w:p>
        </w:tc>
      </w:tr>
      <w:tr w:rsidR="00A122B4" w:rsidRPr="00500CCB" w:rsidTr="00EF23BD">
        <w:trPr>
          <w:trHeight w:val="275"/>
        </w:trPr>
        <w:tc>
          <w:tcPr>
            <w:tcW w:w="2693" w:type="dxa"/>
            <w:vMerge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2014/2015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2015/2016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2016/2017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 xml:space="preserve">1 April 2017 to </w:t>
            </w: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30 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 xml:space="preserve">ugust </w:t>
            </w:r>
            <w:r w:rsidRPr="00500CCB">
              <w:rPr>
                <w:rFonts w:ascii="Arial" w:hAnsi="Arial" w:cs="Arial"/>
                <w:b/>
                <w:noProof/>
                <w:sz w:val="20"/>
                <w:szCs w:val="20"/>
                <w:lang w:val="af-ZA"/>
              </w:rPr>
              <w:t>2017</w:t>
            </w:r>
          </w:p>
        </w:tc>
      </w:tr>
      <w:tr w:rsidR="00A122B4" w:rsidRPr="00500CCB" w:rsidTr="00EF23BD">
        <w:tc>
          <w:tcPr>
            <w:tcW w:w="2693" w:type="dxa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G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auteng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147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13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578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6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997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6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365</w:t>
            </w:r>
          </w:p>
        </w:tc>
      </w:tr>
      <w:tr w:rsidR="00A122B4" w:rsidRPr="00500CCB" w:rsidTr="00EF23BD">
        <w:tc>
          <w:tcPr>
            <w:tcW w:w="2693" w:type="dxa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estern Cape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774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824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352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4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681</w:t>
            </w:r>
          </w:p>
        </w:tc>
      </w:tr>
      <w:tr w:rsidR="00A122B4" w:rsidRPr="00500CCB" w:rsidTr="00EF23BD">
        <w:tc>
          <w:tcPr>
            <w:tcW w:w="2693" w:type="dxa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astern Cape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0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0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0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408</w:t>
            </w:r>
          </w:p>
        </w:tc>
      </w:tr>
      <w:tr w:rsidR="00A122B4" w:rsidRPr="00500CCB" w:rsidTr="00EF23BD">
        <w:tc>
          <w:tcPr>
            <w:tcW w:w="2693" w:type="dxa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lastRenderedPageBreak/>
              <w:t>K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waZulu-Natal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383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915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1500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012</w:t>
            </w:r>
          </w:p>
        </w:tc>
      </w:tr>
      <w:tr w:rsidR="00A122B4" w:rsidRPr="00500CCB" w:rsidTr="00EF23BD">
        <w:tc>
          <w:tcPr>
            <w:tcW w:w="2693" w:type="dxa"/>
            <w:vAlign w:val="center"/>
          </w:tcPr>
          <w:p w:rsidR="00A122B4" w:rsidRPr="00500CCB" w:rsidRDefault="00A122B4" w:rsidP="00EF23BD">
            <w:pPr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F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orensic Science Laboratory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304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18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317</w:t>
            </w:r>
          </w:p>
        </w:tc>
        <w:tc>
          <w:tcPr>
            <w:tcW w:w="1276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9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849</w:t>
            </w:r>
          </w:p>
        </w:tc>
        <w:tc>
          <w:tcPr>
            <w:tcW w:w="1842" w:type="dxa"/>
          </w:tcPr>
          <w:p w:rsidR="00A122B4" w:rsidRPr="00500CCB" w:rsidRDefault="00A122B4" w:rsidP="00EF23B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af-ZA"/>
              </w:rPr>
            </w:pP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12</w:t>
            </w:r>
            <w:r>
              <w:rPr>
                <w:rFonts w:ascii="Arial" w:hAnsi="Arial" w:cs="Arial"/>
                <w:noProof/>
                <w:sz w:val="20"/>
                <w:szCs w:val="20"/>
                <w:lang w:val="af-ZA"/>
              </w:rPr>
              <w:t xml:space="preserve"> </w:t>
            </w:r>
            <w:r w:rsidRPr="00500CCB">
              <w:rPr>
                <w:rFonts w:ascii="Arial" w:hAnsi="Arial" w:cs="Arial"/>
                <w:noProof/>
                <w:sz w:val="20"/>
                <w:szCs w:val="20"/>
                <w:lang w:val="af-ZA"/>
              </w:rPr>
              <w:t>466</w:t>
            </w:r>
          </w:p>
        </w:tc>
      </w:tr>
    </w:tbl>
    <w:p w:rsidR="00A122B4" w:rsidRPr="00500CCB" w:rsidRDefault="00A122B4" w:rsidP="00A122B4">
      <w:pPr>
        <w:pStyle w:val="ListParagraph"/>
        <w:ind w:left="780"/>
        <w:rPr>
          <w:rFonts w:ascii="Arial" w:hAnsi="Arial" w:cs="Arial"/>
        </w:rPr>
      </w:pPr>
    </w:p>
    <w:p w:rsidR="00A122B4" w:rsidRPr="00500CCB" w:rsidRDefault="00A122B4" w:rsidP="00A122B4">
      <w:pPr>
        <w:pStyle w:val="ListParagraph"/>
        <w:spacing w:line="360" w:lineRule="auto"/>
        <w:ind w:left="780"/>
        <w:rPr>
          <w:rFonts w:ascii="Arial" w:hAnsi="Arial" w:cs="Arial"/>
        </w:rPr>
      </w:pPr>
      <w:r w:rsidRPr="00500C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current </w:t>
      </w:r>
      <w:r w:rsidRPr="00500CCB">
        <w:rPr>
          <w:rFonts w:ascii="Arial" w:hAnsi="Arial" w:cs="Arial"/>
        </w:rPr>
        <w:t>backlog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</w:t>
      </w:r>
      <w:r w:rsidRPr="00500CCB">
        <w:rPr>
          <w:rFonts w:ascii="Arial" w:hAnsi="Arial" w:cs="Arial"/>
        </w:rPr>
        <w:t xml:space="preserve">is 4.8% </w:t>
      </w:r>
      <w:r>
        <w:rPr>
          <w:rFonts w:ascii="Arial" w:hAnsi="Arial" w:cs="Arial"/>
        </w:rPr>
        <w:t xml:space="preserve">of on-hand </w:t>
      </w:r>
      <w:r w:rsidRPr="00500CCB">
        <w:rPr>
          <w:rFonts w:ascii="Arial" w:hAnsi="Arial" w:cs="Arial"/>
        </w:rPr>
        <w:t>case entries (exhibits) on-hand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500CCB">
        <w:rPr>
          <w:rFonts w:ascii="Arial" w:hAnsi="Arial" w:cs="Arial"/>
        </w:rPr>
        <w:t>still below the 10% target</w:t>
      </w:r>
      <w:r>
        <w:rPr>
          <w:rFonts w:ascii="Arial" w:hAnsi="Arial" w:cs="Arial"/>
        </w:rPr>
        <w:t>, as reflected in the South African Police Service Annual Performance Plan 2017/2018.</w:t>
      </w:r>
    </w:p>
    <w:p w:rsidR="00A122B4" w:rsidRPr="00500CCB" w:rsidRDefault="00A122B4" w:rsidP="00A122B4">
      <w:pPr>
        <w:spacing w:line="360" w:lineRule="auto"/>
        <w:jc w:val="both"/>
        <w:rPr>
          <w:rFonts w:ascii="Arial" w:hAnsi="Arial" w:cs="Arial"/>
          <w:noProof/>
          <w:lang w:val="af-ZA"/>
        </w:rPr>
      </w:pPr>
    </w:p>
    <w:p w:rsidR="00A122B4" w:rsidRPr="00826EC2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  <w:noProof/>
          <w:lang w:val="af-ZA"/>
        </w:rPr>
      </w:pPr>
      <w:r w:rsidRPr="00826EC2">
        <w:rPr>
          <w:rFonts w:ascii="Arial" w:hAnsi="Arial" w:cs="Arial"/>
          <w:noProof/>
          <w:lang w:val="af-ZA"/>
        </w:rPr>
        <w:t>(2)(a)</w:t>
      </w:r>
      <w:r w:rsidRPr="00826EC2">
        <w:rPr>
          <w:rFonts w:ascii="Arial" w:hAnsi="Arial" w:cs="Arial"/>
          <w:noProof/>
          <w:lang w:val="af-ZA"/>
        </w:rPr>
        <w:tab/>
        <w:t>The most pressing challenge experienced by the Division: Forensic Services</w:t>
      </w:r>
      <w:r>
        <w:rPr>
          <w:rFonts w:ascii="Arial" w:hAnsi="Arial" w:cs="Arial"/>
          <w:noProof/>
          <w:lang w:val="af-ZA"/>
        </w:rPr>
        <w:t>,</w:t>
      </w:r>
      <w:r w:rsidRPr="00826EC2">
        <w:rPr>
          <w:rFonts w:ascii="Arial" w:hAnsi="Arial" w:cs="Arial"/>
          <w:noProof/>
          <w:lang w:val="af-ZA"/>
        </w:rPr>
        <w:t xml:space="preserve"> </w:t>
      </w:r>
      <w:r>
        <w:rPr>
          <w:rFonts w:ascii="Arial" w:hAnsi="Arial" w:cs="Arial"/>
          <w:noProof/>
          <w:lang w:val="af-ZA"/>
        </w:rPr>
        <w:t xml:space="preserve">is </w:t>
      </w:r>
      <w:r w:rsidRPr="00826EC2">
        <w:rPr>
          <w:rFonts w:ascii="Arial" w:hAnsi="Arial" w:cs="Arial"/>
          <w:noProof/>
          <w:lang w:val="af-ZA"/>
        </w:rPr>
        <w:t>that resources to support the implementation of the D</w:t>
      </w:r>
      <w:proofErr w:type="spellStart"/>
      <w:r w:rsidRPr="00826EC2">
        <w:rPr>
          <w:rFonts w:ascii="Arial" w:hAnsi="Arial" w:cs="Arial"/>
          <w:shd w:val="clear" w:color="auto" w:fill="FFFFFF"/>
        </w:rPr>
        <w:t>eoxyribonucleic</w:t>
      </w:r>
      <w:proofErr w:type="spellEnd"/>
      <w:r w:rsidRPr="00826EC2">
        <w:rPr>
          <w:rFonts w:ascii="Arial" w:hAnsi="Arial" w:cs="Arial"/>
          <w:shd w:val="clear" w:color="auto" w:fill="FFFFFF"/>
        </w:rPr>
        <w:t xml:space="preserve"> Acid (</w:t>
      </w:r>
      <w:r w:rsidRPr="00826EC2">
        <w:rPr>
          <w:rFonts w:ascii="Arial" w:hAnsi="Arial" w:cs="Arial"/>
          <w:noProof/>
          <w:lang w:val="af-ZA"/>
        </w:rPr>
        <w:t>DNA) Act</w:t>
      </w:r>
      <w:r>
        <w:rPr>
          <w:rFonts w:ascii="Arial" w:hAnsi="Arial" w:cs="Arial"/>
          <w:noProof/>
          <w:lang w:val="af-ZA"/>
        </w:rPr>
        <w:t xml:space="preserve">, are </w:t>
      </w:r>
      <w:r w:rsidRPr="00826EC2">
        <w:rPr>
          <w:rFonts w:ascii="Arial" w:hAnsi="Arial" w:cs="Arial"/>
          <w:noProof/>
          <w:lang w:val="af-ZA"/>
        </w:rPr>
        <w:t xml:space="preserve">not commensurate with the increased </w:t>
      </w:r>
      <w:r>
        <w:rPr>
          <w:rFonts w:ascii="Arial" w:hAnsi="Arial" w:cs="Arial"/>
          <w:noProof/>
          <w:lang w:val="af-ZA"/>
        </w:rPr>
        <w:t xml:space="preserve">number of </w:t>
      </w:r>
      <w:r w:rsidRPr="00826EC2">
        <w:rPr>
          <w:rFonts w:ascii="Arial" w:hAnsi="Arial" w:cs="Arial"/>
          <w:noProof/>
          <w:lang w:val="af-ZA"/>
        </w:rPr>
        <w:t>crime scene</w:t>
      </w:r>
      <w:r>
        <w:rPr>
          <w:rFonts w:ascii="Arial" w:hAnsi="Arial" w:cs="Arial"/>
          <w:noProof/>
          <w:lang w:val="af-ZA"/>
        </w:rPr>
        <w:t>s</w:t>
      </w:r>
      <w:r w:rsidRPr="00826EC2">
        <w:rPr>
          <w:rFonts w:ascii="Arial" w:hAnsi="Arial" w:cs="Arial"/>
          <w:noProof/>
          <w:lang w:val="af-ZA"/>
        </w:rPr>
        <w:t xml:space="preserve"> and buccal samples </w:t>
      </w:r>
      <w:r>
        <w:rPr>
          <w:rFonts w:ascii="Arial" w:hAnsi="Arial" w:cs="Arial"/>
          <w:noProof/>
          <w:lang w:val="af-ZA"/>
        </w:rPr>
        <w:t>that the South African Police Service (SAPS) is required to respond to</w:t>
      </w:r>
      <w:r w:rsidRPr="00826EC2">
        <w:rPr>
          <w:rFonts w:ascii="Arial" w:hAnsi="Arial" w:cs="Arial"/>
          <w:noProof/>
          <w:lang w:val="af-ZA"/>
        </w:rPr>
        <w:t>.</w:t>
      </w:r>
    </w:p>
    <w:p w:rsidR="00A122B4" w:rsidRPr="00500CCB" w:rsidRDefault="00A122B4" w:rsidP="00A122B4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122B4" w:rsidRDefault="00A122B4" w:rsidP="00A122B4">
      <w:pPr>
        <w:spacing w:line="360" w:lineRule="auto"/>
        <w:ind w:left="720"/>
        <w:jc w:val="both"/>
        <w:rPr>
          <w:rFonts w:ascii="Arial" w:hAnsi="Arial" w:cs="Arial"/>
          <w:noProof/>
          <w:lang w:val="af-ZA"/>
        </w:rPr>
      </w:pPr>
      <w:r w:rsidRPr="00500CCB">
        <w:rPr>
          <w:rFonts w:ascii="Arial" w:hAnsi="Arial" w:cs="Arial"/>
          <w:noProof/>
          <w:lang w:val="af-ZA"/>
        </w:rPr>
        <w:t>The Biology Section</w:t>
      </w:r>
      <w:r>
        <w:rPr>
          <w:rFonts w:ascii="Arial" w:hAnsi="Arial" w:cs="Arial"/>
          <w:noProof/>
          <w:lang w:val="af-ZA"/>
        </w:rPr>
        <w:t>, within the Forensic Science Division,</w:t>
      </w:r>
      <w:r w:rsidRPr="00500CCB">
        <w:rPr>
          <w:rFonts w:ascii="Arial" w:hAnsi="Arial" w:cs="Arial"/>
          <w:noProof/>
          <w:lang w:val="af-ZA"/>
        </w:rPr>
        <w:t xml:space="preserve"> is responsible for the analysis of these samples and the Forensic Database Management</w:t>
      </w:r>
      <w:r>
        <w:rPr>
          <w:rFonts w:ascii="Arial" w:hAnsi="Arial" w:cs="Arial"/>
          <w:noProof/>
          <w:lang w:val="af-ZA"/>
        </w:rPr>
        <w:t xml:space="preserve"> Section,</w:t>
      </w:r>
      <w:r w:rsidRPr="00500CCB">
        <w:rPr>
          <w:rFonts w:ascii="Arial" w:hAnsi="Arial" w:cs="Arial"/>
          <w:noProof/>
          <w:lang w:val="af-ZA"/>
        </w:rPr>
        <w:t xml:space="preserve"> is responsible for </w:t>
      </w:r>
      <w:r>
        <w:rPr>
          <w:rFonts w:ascii="Arial" w:hAnsi="Arial" w:cs="Arial"/>
          <w:noProof/>
          <w:lang w:val="af-ZA"/>
        </w:rPr>
        <w:t xml:space="preserve">the </w:t>
      </w:r>
      <w:r w:rsidRPr="00500CCB">
        <w:rPr>
          <w:rFonts w:ascii="Arial" w:hAnsi="Arial" w:cs="Arial"/>
          <w:noProof/>
          <w:lang w:val="af-ZA"/>
        </w:rPr>
        <w:t>loading of the forensic DNA profiles</w:t>
      </w:r>
      <w:r>
        <w:rPr>
          <w:rFonts w:ascii="Arial" w:hAnsi="Arial" w:cs="Arial"/>
          <w:noProof/>
          <w:lang w:val="af-ZA"/>
        </w:rPr>
        <w:t>,</w:t>
      </w:r>
      <w:r w:rsidRPr="00500CCB">
        <w:rPr>
          <w:rFonts w:ascii="Arial" w:hAnsi="Arial" w:cs="Arial"/>
          <w:noProof/>
          <w:lang w:val="af-ZA"/>
        </w:rPr>
        <w:t xml:space="preserve"> onto the DNA database</w:t>
      </w:r>
      <w:r>
        <w:rPr>
          <w:rFonts w:ascii="Arial" w:hAnsi="Arial" w:cs="Arial"/>
          <w:noProof/>
          <w:lang w:val="af-ZA"/>
        </w:rPr>
        <w:t xml:space="preserve">, as well as </w:t>
      </w:r>
      <w:r w:rsidRPr="00500CCB">
        <w:rPr>
          <w:rFonts w:ascii="Arial" w:hAnsi="Arial" w:cs="Arial"/>
          <w:noProof/>
          <w:lang w:val="af-ZA"/>
        </w:rPr>
        <w:t xml:space="preserve">performing </w:t>
      </w:r>
      <w:r>
        <w:rPr>
          <w:rFonts w:ascii="Arial" w:hAnsi="Arial" w:cs="Arial"/>
          <w:noProof/>
          <w:lang w:val="af-ZA"/>
        </w:rPr>
        <w:t xml:space="preserve">the </w:t>
      </w:r>
      <w:r w:rsidRPr="00500CCB">
        <w:rPr>
          <w:rFonts w:ascii="Arial" w:hAnsi="Arial" w:cs="Arial"/>
          <w:noProof/>
          <w:lang w:val="af-ZA"/>
        </w:rPr>
        <w:t>comparative searches</w:t>
      </w:r>
      <w:r>
        <w:rPr>
          <w:rFonts w:ascii="Arial" w:hAnsi="Arial" w:cs="Arial"/>
          <w:noProof/>
          <w:lang w:val="af-ZA"/>
        </w:rPr>
        <w:t>,</w:t>
      </w:r>
      <w:r w:rsidRPr="00500CCB">
        <w:rPr>
          <w:rFonts w:ascii="Arial" w:hAnsi="Arial" w:cs="Arial"/>
          <w:noProof/>
          <w:lang w:val="af-ZA"/>
        </w:rPr>
        <w:t xml:space="preserve"> to provide forensic DNA </w:t>
      </w:r>
      <w:r>
        <w:rPr>
          <w:rFonts w:ascii="Arial" w:hAnsi="Arial" w:cs="Arial"/>
          <w:noProof/>
          <w:lang w:val="af-ZA"/>
        </w:rPr>
        <w:t>links.</w:t>
      </w:r>
    </w:p>
    <w:p w:rsidR="00A122B4" w:rsidRPr="00500CCB" w:rsidRDefault="00A122B4" w:rsidP="00A122B4">
      <w:pPr>
        <w:spacing w:line="360" w:lineRule="auto"/>
        <w:ind w:left="720"/>
        <w:jc w:val="both"/>
        <w:rPr>
          <w:rFonts w:ascii="Arial" w:hAnsi="Arial" w:cs="Arial"/>
          <w:noProof/>
          <w:lang w:val="af-ZA"/>
        </w:rPr>
      </w:pPr>
    </w:p>
    <w:p w:rsidR="00A122B4" w:rsidRPr="00500CCB" w:rsidRDefault="00A122B4" w:rsidP="00A122B4">
      <w:pPr>
        <w:pStyle w:val="ListParagraph"/>
        <w:spacing w:line="360" w:lineRule="auto"/>
        <w:jc w:val="both"/>
        <w:rPr>
          <w:rFonts w:ascii="Arial" w:hAnsi="Arial" w:cs="Arial"/>
          <w:lang w:val="en-ZA"/>
        </w:rPr>
      </w:pPr>
      <w:r w:rsidRPr="00500CCB">
        <w:rPr>
          <w:rFonts w:ascii="Arial" w:hAnsi="Arial" w:cs="Arial"/>
          <w:noProof/>
          <w:lang w:val="af-ZA"/>
        </w:rPr>
        <w:t>The total number of additional examiners required in these two specific sections</w:t>
      </w:r>
      <w:r>
        <w:rPr>
          <w:rFonts w:ascii="Arial" w:hAnsi="Arial" w:cs="Arial"/>
          <w:noProof/>
          <w:lang w:val="af-ZA"/>
        </w:rPr>
        <w:t>,</w:t>
      </w:r>
      <w:r w:rsidRPr="00500CCB">
        <w:rPr>
          <w:rFonts w:ascii="Arial" w:hAnsi="Arial" w:cs="Arial"/>
          <w:noProof/>
          <w:lang w:val="af-ZA"/>
        </w:rPr>
        <w:t xml:space="preserve"> to analyse the increased </w:t>
      </w:r>
      <w:r>
        <w:rPr>
          <w:rFonts w:ascii="Arial" w:hAnsi="Arial" w:cs="Arial"/>
          <w:noProof/>
          <w:lang w:val="af-ZA"/>
        </w:rPr>
        <w:t xml:space="preserve">number of </w:t>
      </w:r>
      <w:r w:rsidRPr="00500CCB">
        <w:rPr>
          <w:rFonts w:ascii="Arial" w:hAnsi="Arial" w:cs="Arial"/>
          <w:noProof/>
          <w:lang w:val="af-ZA"/>
        </w:rPr>
        <w:t>DNA samples and to conduct comparative searches on the DNA database, ha</w:t>
      </w:r>
      <w:r>
        <w:rPr>
          <w:rFonts w:ascii="Arial" w:hAnsi="Arial" w:cs="Arial"/>
          <w:noProof/>
          <w:lang w:val="af-ZA"/>
        </w:rPr>
        <w:t>ve</w:t>
      </w:r>
      <w:r w:rsidRPr="00500CCB">
        <w:rPr>
          <w:rFonts w:ascii="Arial" w:hAnsi="Arial" w:cs="Arial"/>
          <w:noProof/>
          <w:lang w:val="af-ZA"/>
        </w:rPr>
        <w:t xml:space="preserve"> not </w:t>
      </w:r>
      <w:r>
        <w:rPr>
          <w:rFonts w:ascii="Arial" w:hAnsi="Arial" w:cs="Arial"/>
          <w:noProof/>
          <w:lang w:val="af-ZA"/>
        </w:rPr>
        <w:t>yet</w:t>
      </w:r>
      <w:r w:rsidRPr="00500CCB">
        <w:rPr>
          <w:rFonts w:ascii="Arial" w:hAnsi="Arial" w:cs="Arial"/>
          <w:noProof/>
          <w:lang w:val="af-ZA"/>
        </w:rPr>
        <w:t xml:space="preserve"> been appointed. </w:t>
      </w:r>
      <w:r w:rsidRPr="00500CCB">
        <w:rPr>
          <w:rFonts w:ascii="Arial" w:hAnsi="Arial" w:cs="Arial"/>
          <w:lang w:val="en-ZA"/>
        </w:rPr>
        <w:t xml:space="preserve">There </w:t>
      </w:r>
      <w:r>
        <w:rPr>
          <w:rFonts w:ascii="Arial" w:hAnsi="Arial" w:cs="Arial"/>
          <w:lang w:val="en-ZA"/>
        </w:rPr>
        <w:t xml:space="preserve">is </w:t>
      </w:r>
      <w:r w:rsidRPr="00500CCB">
        <w:rPr>
          <w:rFonts w:ascii="Arial" w:hAnsi="Arial" w:cs="Arial"/>
          <w:lang w:val="en-ZA"/>
        </w:rPr>
        <w:t xml:space="preserve">also </w:t>
      </w:r>
      <w:r>
        <w:rPr>
          <w:rFonts w:ascii="Arial" w:hAnsi="Arial" w:cs="Arial"/>
          <w:lang w:val="en-ZA"/>
        </w:rPr>
        <w:t>an in</w:t>
      </w:r>
      <w:r w:rsidRPr="00500CCB">
        <w:rPr>
          <w:rFonts w:ascii="Arial" w:hAnsi="Arial" w:cs="Arial"/>
          <w:lang w:val="en-ZA"/>
        </w:rPr>
        <w:t xml:space="preserve">sufficient </w:t>
      </w:r>
      <w:r>
        <w:rPr>
          <w:rFonts w:ascii="Arial" w:hAnsi="Arial" w:cs="Arial"/>
          <w:lang w:val="en-ZA"/>
        </w:rPr>
        <w:t xml:space="preserve">number of </w:t>
      </w:r>
      <w:r w:rsidRPr="00500CCB">
        <w:rPr>
          <w:rFonts w:ascii="Arial" w:hAnsi="Arial" w:cs="Arial"/>
          <w:lang w:val="en-ZA"/>
        </w:rPr>
        <w:t>administration personnel to receive</w:t>
      </w:r>
      <w:r>
        <w:rPr>
          <w:rFonts w:ascii="Arial" w:hAnsi="Arial" w:cs="Arial"/>
          <w:lang w:val="en-ZA"/>
        </w:rPr>
        <w:t xml:space="preserve">, </w:t>
      </w:r>
      <w:r w:rsidRPr="00500CCB">
        <w:rPr>
          <w:rFonts w:ascii="Arial" w:hAnsi="Arial" w:cs="Arial"/>
          <w:lang w:val="en-ZA"/>
        </w:rPr>
        <w:t>register and handle the increase</w:t>
      </w:r>
      <w:r>
        <w:rPr>
          <w:rFonts w:ascii="Arial" w:hAnsi="Arial" w:cs="Arial"/>
          <w:lang w:val="en-ZA"/>
        </w:rPr>
        <w:t xml:space="preserve">d number of </w:t>
      </w:r>
      <w:r w:rsidRPr="00500CCB">
        <w:rPr>
          <w:rFonts w:ascii="Arial" w:hAnsi="Arial" w:cs="Arial"/>
          <w:lang w:val="en-ZA"/>
        </w:rPr>
        <w:t xml:space="preserve">submissions to the </w:t>
      </w:r>
      <w:r>
        <w:rPr>
          <w:rFonts w:ascii="Arial" w:hAnsi="Arial" w:cs="Arial"/>
          <w:lang w:val="en-ZA"/>
        </w:rPr>
        <w:t>various SAPS forensic laboratories.</w:t>
      </w:r>
    </w:p>
    <w:p w:rsidR="00A122B4" w:rsidRPr="00500CCB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122B4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500CCB">
        <w:rPr>
          <w:rFonts w:ascii="Arial" w:hAnsi="Arial" w:cs="Arial"/>
        </w:rPr>
        <w:t xml:space="preserve">. </w:t>
      </w:r>
      <w:r w:rsidRPr="00500CCB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Pr="00500CCB">
        <w:rPr>
          <w:rFonts w:ascii="Arial" w:hAnsi="Arial" w:cs="Arial"/>
        </w:rPr>
        <w:t xml:space="preserve">he Biology Section is </w:t>
      </w:r>
      <w:r>
        <w:rPr>
          <w:rFonts w:ascii="Arial" w:hAnsi="Arial" w:cs="Arial"/>
        </w:rPr>
        <w:t xml:space="preserve">also </w:t>
      </w:r>
      <w:r w:rsidRPr="00500CCB">
        <w:rPr>
          <w:rFonts w:ascii="Arial" w:hAnsi="Arial" w:cs="Arial"/>
        </w:rPr>
        <w:t xml:space="preserve">experiencing challenges with the procurement process of </w:t>
      </w:r>
      <w:proofErr w:type="spellStart"/>
      <w:r w:rsidRPr="00500CCB">
        <w:rPr>
          <w:rFonts w:ascii="Arial" w:hAnsi="Arial" w:cs="Arial"/>
        </w:rPr>
        <w:t>specialised</w:t>
      </w:r>
      <w:proofErr w:type="spellEnd"/>
      <w:r w:rsidRPr="00500CCB">
        <w:rPr>
          <w:rFonts w:ascii="Arial" w:hAnsi="Arial" w:cs="Arial"/>
        </w:rPr>
        <w:t xml:space="preserve"> DNA equipment</w:t>
      </w:r>
      <w:r>
        <w:rPr>
          <w:rFonts w:ascii="Arial" w:hAnsi="Arial" w:cs="Arial"/>
        </w:rPr>
        <w:t xml:space="preserve">, which will </w:t>
      </w:r>
      <w:r w:rsidRPr="00500CCB">
        <w:rPr>
          <w:rFonts w:ascii="Arial" w:hAnsi="Arial" w:cs="Arial"/>
        </w:rPr>
        <w:t>provide preventative and cor</w:t>
      </w:r>
      <w:r>
        <w:rPr>
          <w:rFonts w:ascii="Arial" w:hAnsi="Arial" w:cs="Arial"/>
        </w:rPr>
        <w:t>rective maintenance.</w:t>
      </w:r>
    </w:p>
    <w:p w:rsidR="00A122B4" w:rsidRPr="00500CCB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122B4" w:rsidRPr="00D50AAD" w:rsidRDefault="00A122B4" w:rsidP="00A122B4">
      <w:pPr>
        <w:spacing w:line="360" w:lineRule="auto"/>
        <w:ind w:left="720"/>
        <w:jc w:val="both"/>
        <w:rPr>
          <w:rFonts w:ascii="Arial" w:hAnsi="Arial" w:cs="Arial"/>
        </w:rPr>
      </w:pPr>
      <w:r w:rsidRPr="00D50AAD">
        <w:rPr>
          <w:rFonts w:ascii="Arial" w:hAnsi="Arial" w:cs="Arial"/>
        </w:rPr>
        <w:t xml:space="preserve">The current DNA system, the </w:t>
      </w:r>
      <w:proofErr w:type="spellStart"/>
      <w:r w:rsidRPr="00D50AAD">
        <w:rPr>
          <w:rFonts w:ascii="Arial" w:hAnsi="Arial" w:cs="Arial"/>
        </w:rPr>
        <w:t>STRlab</w:t>
      </w:r>
      <w:proofErr w:type="spellEnd"/>
      <w:r w:rsidRPr="00D50AAD">
        <w:rPr>
          <w:rFonts w:ascii="Arial" w:hAnsi="Arial" w:cs="Arial"/>
        </w:rPr>
        <w:t xml:space="preserve"> </w:t>
      </w:r>
      <w:proofErr w:type="gramStart"/>
      <w:r w:rsidRPr="00D50AAD">
        <w:rPr>
          <w:rFonts w:ascii="Arial" w:hAnsi="Arial" w:cs="Arial"/>
        </w:rPr>
        <w:t xml:space="preserve">system, that is maintained by the </w:t>
      </w:r>
      <w:r w:rsidRPr="00D50AAD">
        <w:rPr>
          <w:rStyle w:val="Emphasis"/>
          <w:rFonts w:ascii="Arial" w:hAnsi="Arial" w:cs="Arial"/>
          <w:bCs/>
          <w:shd w:val="clear" w:color="auto" w:fill="FFFFFF"/>
        </w:rPr>
        <w:t>State Information Technology Agency (</w:t>
      </w:r>
      <w:r w:rsidRPr="00D50AAD">
        <w:rPr>
          <w:rFonts w:ascii="Arial" w:hAnsi="Arial" w:cs="Arial"/>
        </w:rPr>
        <w:t>SITA),</w:t>
      </w:r>
      <w:proofErr w:type="gramEnd"/>
      <w:r w:rsidRPr="00D50AAD">
        <w:rPr>
          <w:rFonts w:ascii="Arial" w:hAnsi="Arial" w:cs="Arial"/>
        </w:rPr>
        <w:t xml:space="preserve"> is unstable and </w:t>
      </w:r>
      <w:proofErr w:type="spellStart"/>
      <w:r w:rsidRPr="00D50AAD">
        <w:rPr>
          <w:rFonts w:ascii="Arial" w:hAnsi="Arial" w:cs="Arial"/>
        </w:rPr>
        <w:t>unsupporting</w:t>
      </w:r>
      <w:proofErr w:type="spellEnd"/>
      <w:r w:rsidRPr="00D50AAD">
        <w:rPr>
          <w:rFonts w:ascii="Arial" w:hAnsi="Arial" w:cs="Arial"/>
        </w:rPr>
        <w:t xml:space="preserve"> of the optimal work load in </w:t>
      </w:r>
      <w:proofErr w:type="spellStart"/>
      <w:r w:rsidRPr="00D50AAD">
        <w:rPr>
          <w:rFonts w:ascii="Arial" w:hAnsi="Arial" w:cs="Arial"/>
        </w:rPr>
        <w:t>finalising</w:t>
      </w:r>
      <w:proofErr w:type="spellEnd"/>
      <w:r w:rsidRPr="00D50AAD">
        <w:rPr>
          <w:rFonts w:ascii="Arial" w:hAnsi="Arial" w:cs="Arial"/>
        </w:rPr>
        <w:t xml:space="preserve"> the case entries within the time frames.</w:t>
      </w:r>
    </w:p>
    <w:p w:rsidR="00A122B4" w:rsidRPr="00500CCB" w:rsidRDefault="00A122B4" w:rsidP="00A122B4">
      <w:pPr>
        <w:spacing w:line="360" w:lineRule="auto"/>
        <w:ind w:left="720"/>
        <w:jc w:val="both"/>
        <w:rPr>
          <w:rFonts w:ascii="Arial" w:hAnsi="Arial" w:cs="Arial"/>
        </w:rPr>
      </w:pPr>
    </w:p>
    <w:p w:rsidR="00A122B4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The Chemistry Section </w:t>
      </w:r>
      <w:r w:rsidRPr="00500CCB">
        <w:rPr>
          <w:rFonts w:ascii="Arial" w:hAnsi="Arial" w:cs="Arial"/>
        </w:rPr>
        <w:t xml:space="preserve">is experiencing a significant increase in the submission of cases, </w:t>
      </w:r>
      <w:r>
        <w:rPr>
          <w:rFonts w:ascii="Arial" w:hAnsi="Arial" w:cs="Arial"/>
        </w:rPr>
        <w:t xml:space="preserve">particularly less serious cases. </w:t>
      </w:r>
      <w:r w:rsidRPr="00500CCB">
        <w:rPr>
          <w:rFonts w:ascii="Arial" w:hAnsi="Arial" w:cs="Arial"/>
        </w:rPr>
        <w:t>The K</w:t>
      </w:r>
      <w:r>
        <w:rPr>
          <w:rFonts w:ascii="Arial" w:hAnsi="Arial" w:cs="Arial"/>
        </w:rPr>
        <w:t>waZulu-Natal Forensic Laboratory experiences challenges with flooding of the premises, which disrupts precise procedures, leading to backlogs.</w:t>
      </w:r>
    </w:p>
    <w:p w:rsidR="00A122B4" w:rsidRDefault="00A122B4" w:rsidP="00A122B4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A122B4" w:rsidRPr="00500CCB" w:rsidRDefault="00A122B4" w:rsidP="00A122B4">
      <w:pPr>
        <w:spacing w:line="360" w:lineRule="auto"/>
        <w:ind w:left="720" w:hanging="11"/>
        <w:jc w:val="both"/>
        <w:rPr>
          <w:rFonts w:ascii="Arial" w:hAnsi="Arial" w:cs="Arial"/>
        </w:rPr>
      </w:pPr>
      <w:r w:rsidRPr="00500CCB">
        <w:rPr>
          <w:rFonts w:ascii="Arial" w:hAnsi="Arial" w:cs="Arial"/>
        </w:rPr>
        <w:t>The budget of the Division: Forensic Services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is not </w:t>
      </w:r>
      <w:r>
        <w:rPr>
          <w:rFonts w:ascii="Arial" w:hAnsi="Arial" w:cs="Arial"/>
        </w:rPr>
        <w:t xml:space="preserve">commensurate </w:t>
      </w:r>
      <w:r w:rsidRPr="00500CCB">
        <w:rPr>
          <w:rFonts w:ascii="Arial" w:hAnsi="Arial" w:cs="Arial"/>
        </w:rPr>
        <w:t xml:space="preserve">to the significant increase </w:t>
      </w:r>
      <w:r>
        <w:rPr>
          <w:rFonts w:ascii="Arial" w:hAnsi="Arial" w:cs="Arial"/>
        </w:rPr>
        <w:t xml:space="preserve">in </w:t>
      </w:r>
      <w:r w:rsidRPr="00500CCB">
        <w:rPr>
          <w:rFonts w:ascii="Arial" w:hAnsi="Arial" w:cs="Arial"/>
        </w:rPr>
        <w:t xml:space="preserve">exhibit material </w:t>
      </w:r>
      <w:r>
        <w:rPr>
          <w:rFonts w:ascii="Arial" w:hAnsi="Arial" w:cs="Arial"/>
        </w:rPr>
        <w:t xml:space="preserve">submitted </w:t>
      </w:r>
      <w:r w:rsidRPr="00500CCB">
        <w:rPr>
          <w:rFonts w:ascii="Arial" w:hAnsi="Arial" w:cs="Arial"/>
        </w:rPr>
        <w:t>for forensic analysis. In particular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inadequate funds are available for recurring costs</w:t>
      </w:r>
      <w:r>
        <w:rPr>
          <w:rFonts w:ascii="Arial" w:hAnsi="Arial" w:cs="Arial"/>
        </w:rPr>
        <w:t xml:space="preserve">, </w:t>
      </w:r>
      <w:r w:rsidRPr="00500CCB">
        <w:rPr>
          <w:rFonts w:ascii="Arial" w:hAnsi="Arial" w:cs="Arial"/>
        </w:rPr>
        <w:t xml:space="preserve">such as forensic consumables and buccal sample collection kits. The reduction </w:t>
      </w:r>
      <w:r>
        <w:rPr>
          <w:rFonts w:ascii="Arial" w:hAnsi="Arial" w:cs="Arial"/>
        </w:rPr>
        <w:t>in</w:t>
      </w:r>
      <w:r w:rsidRPr="00500CCB">
        <w:rPr>
          <w:rFonts w:ascii="Arial" w:hAnsi="Arial" w:cs="Arial"/>
        </w:rPr>
        <w:t xml:space="preserve"> the allocated budget </w:t>
      </w:r>
      <w:r>
        <w:rPr>
          <w:rFonts w:ascii="Arial" w:hAnsi="Arial" w:cs="Arial"/>
        </w:rPr>
        <w:t>for the</w:t>
      </w:r>
      <w:r w:rsidRPr="00500CCB">
        <w:rPr>
          <w:rFonts w:ascii="Arial" w:hAnsi="Arial" w:cs="Arial"/>
        </w:rPr>
        <w:t xml:space="preserve"> Division: Forensic Services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is expected to </w:t>
      </w:r>
      <w:r>
        <w:rPr>
          <w:rFonts w:ascii="Arial" w:hAnsi="Arial" w:cs="Arial"/>
        </w:rPr>
        <w:t xml:space="preserve">have a </w:t>
      </w:r>
      <w:r w:rsidRPr="00500CCB">
        <w:rPr>
          <w:rFonts w:ascii="Arial" w:hAnsi="Arial" w:cs="Arial"/>
        </w:rPr>
        <w:t xml:space="preserve">negative impact on service delivery, </w:t>
      </w:r>
      <w:r>
        <w:rPr>
          <w:rFonts w:ascii="Arial" w:hAnsi="Arial" w:cs="Arial"/>
        </w:rPr>
        <w:t xml:space="preserve">as well as </w:t>
      </w:r>
      <w:r w:rsidRPr="00500C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SAPS’s </w:t>
      </w:r>
      <w:r w:rsidRPr="00500CCB">
        <w:rPr>
          <w:rFonts w:ascii="Arial" w:hAnsi="Arial" w:cs="Arial"/>
        </w:rPr>
        <w:t>ability to reduce the backlog and to improve turnaround times.</w:t>
      </w:r>
    </w:p>
    <w:p w:rsidR="00A122B4" w:rsidRDefault="00A122B4" w:rsidP="00A122B4">
      <w:pPr>
        <w:spacing w:line="360" w:lineRule="auto"/>
        <w:ind w:left="709" w:hanging="637"/>
        <w:jc w:val="both"/>
        <w:rPr>
          <w:rFonts w:ascii="Arial" w:hAnsi="Arial" w:cs="Arial"/>
          <w:noProof/>
          <w:lang w:val="af-ZA"/>
        </w:rPr>
      </w:pPr>
    </w:p>
    <w:p w:rsidR="00A122B4" w:rsidRDefault="00A122B4" w:rsidP="00A122B4">
      <w:pPr>
        <w:spacing w:line="360" w:lineRule="auto"/>
        <w:ind w:left="709" w:hanging="637"/>
        <w:jc w:val="both"/>
        <w:rPr>
          <w:rFonts w:ascii="Arial" w:hAnsi="Arial" w:cs="Arial"/>
          <w:noProof/>
          <w:lang w:val="af-ZA"/>
        </w:rPr>
      </w:pPr>
      <w:r w:rsidRPr="00500CCB">
        <w:rPr>
          <w:rFonts w:ascii="Arial" w:hAnsi="Arial" w:cs="Arial"/>
          <w:noProof/>
          <w:lang w:val="af-ZA"/>
        </w:rPr>
        <w:t>(2)(b)</w:t>
      </w:r>
      <w:r>
        <w:rPr>
          <w:rFonts w:ascii="Arial" w:hAnsi="Arial" w:cs="Arial"/>
          <w:noProof/>
          <w:lang w:val="af-ZA"/>
        </w:rPr>
        <w:tab/>
        <w:t>T</w:t>
      </w:r>
      <w:r w:rsidRPr="00500CCB">
        <w:rPr>
          <w:rFonts w:ascii="Arial" w:hAnsi="Arial" w:cs="Arial"/>
          <w:noProof/>
          <w:lang w:val="af-ZA"/>
        </w:rPr>
        <w:t>he acting Divisional Commissioner: Forensic Services</w:t>
      </w:r>
      <w:r>
        <w:rPr>
          <w:rFonts w:ascii="Arial" w:hAnsi="Arial" w:cs="Arial"/>
          <w:noProof/>
          <w:lang w:val="af-ZA"/>
        </w:rPr>
        <w:t xml:space="preserve"> has requested an a</w:t>
      </w:r>
      <w:r w:rsidRPr="00500CCB">
        <w:rPr>
          <w:rFonts w:ascii="Arial" w:hAnsi="Arial" w:cs="Arial"/>
          <w:noProof/>
          <w:lang w:val="af-ZA"/>
        </w:rPr>
        <w:t>dditional posts</w:t>
      </w:r>
      <w:r>
        <w:rPr>
          <w:rFonts w:ascii="Arial" w:hAnsi="Arial" w:cs="Arial"/>
          <w:noProof/>
          <w:lang w:val="af-ZA"/>
        </w:rPr>
        <w:t xml:space="preserve"> for 76 </w:t>
      </w:r>
      <w:r w:rsidRPr="00500CCB">
        <w:rPr>
          <w:rFonts w:ascii="Arial" w:hAnsi="Arial" w:cs="Arial"/>
          <w:noProof/>
          <w:lang w:val="af-ZA"/>
        </w:rPr>
        <w:t>support</w:t>
      </w:r>
      <w:r>
        <w:rPr>
          <w:rFonts w:ascii="Arial" w:hAnsi="Arial" w:cs="Arial"/>
          <w:noProof/>
          <w:lang w:val="af-ZA"/>
        </w:rPr>
        <w:t xml:space="preserve"> staff and 58 posts for forensic analysts,</w:t>
      </w:r>
      <w:r w:rsidRPr="00500CCB">
        <w:rPr>
          <w:rFonts w:ascii="Arial" w:hAnsi="Arial" w:cs="Arial"/>
          <w:noProof/>
          <w:lang w:val="af-ZA"/>
        </w:rPr>
        <w:t xml:space="preserve"> on 29</w:t>
      </w:r>
      <w:r>
        <w:rPr>
          <w:rFonts w:ascii="Arial" w:hAnsi="Arial" w:cs="Arial"/>
          <w:noProof/>
          <w:lang w:val="af-ZA"/>
        </w:rPr>
        <w:t xml:space="preserve"> </w:t>
      </w:r>
      <w:r w:rsidRPr="00500CCB">
        <w:rPr>
          <w:rFonts w:ascii="Arial" w:hAnsi="Arial" w:cs="Arial"/>
          <w:noProof/>
          <w:lang w:val="af-ZA"/>
        </w:rPr>
        <w:t>May 2017</w:t>
      </w:r>
      <w:r>
        <w:rPr>
          <w:rFonts w:ascii="Arial" w:hAnsi="Arial" w:cs="Arial"/>
          <w:noProof/>
          <w:lang w:val="af-ZA"/>
        </w:rPr>
        <w:t>,</w:t>
      </w:r>
      <w:r w:rsidRPr="00500CCB">
        <w:rPr>
          <w:rFonts w:ascii="Arial" w:hAnsi="Arial" w:cs="Arial"/>
          <w:noProof/>
          <w:lang w:val="af-ZA"/>
        </w:rPr>
        <w:t xml:space="preserve"> to address the implementation of the DNA Act </w:t>
      </w:r>
      <w:r>
        <w:rPr>
          <w:rFonts w:ascii="Arial" w:hAnsi="Arial" w:cs="Arial"/>
          <w:noProof/>
          <w:lang w:val="af-ZA"/>
        </w:rPr>
        <w:t>by</w:t>
      </w:r>
      <w:r w:rsidRPr="00500CCB">
        <w:rPr>
          <w:rFonts w:ascii="Arial" w:hAnsi="Arial" w:cs="Arial"/>
          <w:noProof/>
          <w:lang w:val="af-ZA"/>
        </w:rPr>
        <w:t xml:space="preserve"> the Biology Section and </w:t>
      </w:r>
      <w:r>
        <w:rPr>
          <w:rFonts w:ascii="Arial" w:hAnsi="Arial" w:cs="Arial"/>
          <w:noProof/>
          <w:lang w:val="af-ZA"/>
        </w:rPr>
        <w:t xml:space="preserve">the </w:t>
      </w:r>
      <w:r w:rsidRPr="00500CCB">
        <w:rPr>
          <w:rFonts w:ascii="Arial" w:hAnsi="Arial" w:cs="Arial"/>
          <w:noProof/>
          <w:lang w:val="af-ZA"/>
        </w:rPr>
        <w:t>Forensic Database Management</w:t>
      </w:r>
      <w:r>
        <w:rPr>
          <w:rFonts w:ascii="Arial" w:hAnsi="Arial" w:cs="Arial"/>
          <w:noProof/>
          <w:lang w:val="af-ZA"/>
        </w:rPr>
        <w:t xml:space="preserve"> Section.</w:t>
      </w:r>
    </w:p>
    <w:p w:rsidR="00A122B4" w:rsidRPr="00500CCB" w:rsidRDefault="00A122B4" w:rsidP="00A122B4">
      <w:pPr>
        <w:spacing w:line="360" w:lineRule="auto"/>
        <w:ind w:left="709" w:hanging="637"/>
        <w:jc w:val="both"/>
        <w:rPr>
          <w:rFonts w:ascii="Arial" w:hAnsi="Arial" w:cs="Arial"/>
          <w:noProof/>
          <w:lang w:val="af-ZA"/>
        </w:rPr>
      </w:pPr>
    </w:p>
    <w:p w:rsidR="00A122B4" w:rsidRPr="00500CCB" w:rsidRDefault="00A122B4" w:rsidP="00A122B4">
      <w:pPr>
        <w:spacing w:line="360" w:lineRule="auto"/>
        <w:ind w:left="709"/>
        <w:jc w:val="both"/>
        <w:rPr>
          <w:rFonts w:ascii="Arial" w:hAnsi="Arial" w:cs="Arial"/>
        </w:rPr>
      </w:pPr>
      <w:r w:rsidRPr="00500CCB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, </w:t>
      </w:r>
      <w:r w:rsidRPr="00500CCB">
        <w:rPr>
          <w:rFonts w:ascii="Arial" w:hAnsi="Arial" w:cs="Arial"/>
        </w:rPr>
        <w:t xml:space="preserve">interns are employed to assist with the </w:t>
      </w:r>
      <w:r>
        <w:rPr>
          <w:rFonts w:ascii="Arial" w:hAnsi="Arial" w:cs="Arial"/>
        </w:rPr>
        <w:t xml:space="preserve">increased volume of exhibits </w:t>
      </w:r>
      <w:r w:rsidRPr="00500CCB">
        <w:rPr>
          <w:rFonts w:ascii="Arial" w:hAnsi="Arial" w:cs="Arial"/>
        </w:rPr>
        <w:t>and flexi-hour shifts have been implemented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required</w:t>
      </w:r>
      <w:r w:rsidRPr="00500CCB">
        <w:rPr>
          <w:rFonts w:ascii="Arial" w:hAnsi="Arial" w:cs="Arial"/>
        </w:rPr>
        <w:t>.</w:t>
      </w:r>
    </w:p>
    <w:p w:rsidR="00A122B4" w:rsidRPr="00500CCB" w:rsidRDefault="00A122B4" w:rsidP="00A122B4">
      <w:pPr>
        <w:pStyle w:val="ListParagraph"/>
        <w:spacing w:line="360" w:lineRule="auto"/>
        <w:jc w:val="both"/>
        <w:rPr>
          <w:rFonts w:ascii="Arial" w:hAnsi="Arial" w:cs="Arial"/>
          <w:lang w:val="en-ZA"/>
        </w:rPr>
      </w:pPr>
    </w:p>
    <w:p w:rsidR="00A122B4" w:rsidRPr="00500CCB" w:rsidRDefault="00A122B4" w:rsidP="00A122B4">
      <w:pPr>
        <w:spacing w:line="360" w:lineRule="auto"/>
        <w:ind w:left="709" w:firstLine="11"/>
        <w:jc w:val="both"/>
        <w:rPr>
          <w:rFonts w:ascii="Arial" w:hAnsi="Arial" w:cs="Arial"/>
          <w:lang w:eastAsia="en-ZA"/>
        </w:rPr>
      </w:pPr>
      <w:r w:rsidRPr="00500CCB">
        <w:rPr>
          <w:rFonts w:ascii="Arial" w:hAnsi="Arial" w:cs="Arial"/>
          <w:noProof/>
          <w:lang w:val="af-ZA"/>
        </w:rPr>
        <w:t xml:space="preserve">The </w:t>
      </w:r>
      <w:r>
        <w:rPr>
          <w:rFonts w:ascii="Arial" w:hAnsi="Arial" w:cs="Arial"/>
          <w:noProof/>
          <w:lang w:val="af-ZA"/>
        </w:rPr>
        <w:t>c</w:t>
      </w:r>
      <w:r w:rsidRPr="00500CCB">
        <w:rPr>
          <w:rFonts w:ascii="Arial" w:hAnsi="Arial" w:cs="Arial"/>
          <w:noProof/>
          <w:lang w:val="af-ZA"/>
        </w:rPr>
        <w:t xml:space="preserve">hemistry </w:t>
      </w:r>
      <w:r>
        <w:rPr>
          <w:rFonts w:ascii="Arial" w:hAnsi="Arial" w:cs="Arial"/>
          <w:noProof/>
          <w:lang w:val="af-ZA"/>
        </w:rPr>
        <w:t>case</w:t>
      </w:r>
      <w:r>
        <w:rPr>
          <w:rFonts w:ascii="Arial" w:hAnsi="Arial" w:cs="Arial"/>
        </w:rPr>
        <w:t xml:space="preserve"> </w:t>
      </w:r>
      <w:r w:rsidRPr="00500CCB">
        <w:rPr>
          <w:rFonts w:ascii="Arial" w:hAnsi="Arial" w:cs="Arial"/>
        </w:rPr>
        <w:t>load is distributed to other regions</w:t>
      </w:r>
      <w:r>
        <w:rPr>
          <w:rFonts w:ascii="Arial" w:hAnsi="Arial" w:cs="Arial"/>
        </w:rPr>
        <w:t xml:space="preserve">, which have the </w:t>
      </w:r>
      <w:r w:rsidRPr="00500CCB">
        <w:rPr>
          <w:rFonts w:ascii="Arial" w:hAnsi="Arial" w:cs="Arial"/>
        </w:rPr>
        <w:t xml:space="preserve">capacity to handle </w:t>
      </w:r>
      <w:r>
        <w:rPr>
          <w:rFonts w:ascii="Arial" w:hAnsi="Arial" w:cs="Arial"/>
        </w:rPr>
        <w:t xml:space="preserve">additional cases </w:t>
      </w:r>
      <w:r w:rsidRPr="00500CCB">
        <w:rPr>
          <w:rFonts w:ascii="Arial" w:hAnsi="Arial" w:cs="Arial"/>
        </w:rPr>
        <w:t>and an additional laboratory</w:t>
      </w:r>
      <w:r>
        <w:rPr>
          <w:rFonts w:ascii="Arial" w:hAnsi="Arial" w:cs="Arial"/>
        </w:rPr>
        <w:t>,</w:t>
      </w:r>
      <w:r w:rsidRPr="00500CC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r w:rsidRPr="00500CCB">
        <w:rPr>
          <w:rFonts w:ascii="Arial" w:hAnsi="Arial" w:cs="Arial"/>
        </w:rPr>
        <w:t>Western Cape</w:t>
      </w:r>
      <w:r>
        <w:rPr>
          <w:rFonts w:ascii="Arial" w:hAnsi="Arial" w:cs="Arial"/>
        </w:rPr>
        <w:t xml:space="preserve">, </w:t>
      </w:r>
      <w:r w:rsidRPr="00500CCB">
        <w:rPr>
          <w:rFonts w:ascii="Arial" w:hAnsi="Arial" w:cs="Arial"/>
        </w:rPr>
        <w:t xml:space="preserve">is now functional </w:t>
      </w:r>
      <w:r>
        <w:rPr>
          <w:rFonts w:ascii="Arial" w:hAnsi="Arial" w:cs="Arial"/>
        </w:rPr>
        <w:t xml:space="preserve">and also </w:t>
      </w:r>
      <w:proofErr w:type="spellStart"/>
      <w:r>
        <w:rPr>
          <w:rFonts w:ascii="Arial" w:hAnsi="Arial" w:cs="Arial"/>
        </w:rPr>
        <w:t>analysing</w:t>
      </w:r>
      <w:proofErr w:type="spellEnd"/>
      <w:r>
        <w:rPr>
          <w:rFonts w:ascii="Arial" w:hAnsi="Arial" w:cs="Arial"/>
        </w:rPr>
        <w:t xml:space="preserve"> exhibits.</w:t>
      </w:r>
      <w:r w:rsidRPr="00500CCB">
        <w:rPr>
          <w:rFonts w:ascii="Arial" w:hAnsi="Arial" w:cs="Arial"/>
        </w:rPr>
        <w:t xml:space="preserve"> Although the </w:t>
      </w:r>
      <w:r w:rsidRPr="00500CCB">
        <w:rPr>
          <w:rFonts w:ascii="Arial" w:hAnsi="Arial" w:cs="Arial"/>
          <w:lang w:eastAsia="en-ZA"/>
        </w:rPr>
        <w:t xml:space="preserve">capacity </w:t>
      </w:r>
      <w:r>
        <w:rPr>
          <w:rFonts w:ascii="Arial" w:hAnsi="Arial" w:cs="Arial"/>
          <w:lang w:eastAsia="en-ZA"/>
        </w:rPr>
        <w:t xml:space="preserve">at the </w:t>
      </w:r>
      <w:r w:rsidRPr="00500CCB">
        <w:rPr>
          <w:rFonts w:ascii="Arial" w:hAnsi="Arial" w:cs="Arial"/>
          <w:lang w:eastAsia="en-ZA"/>
        </w:rPr>
        <w:t>Western Cape F</w:t>
      </w:r>
      <w:r>
        <w:rPr>
          <w:rFonts w:ascii="Arial" w:hAnsi="Arial" w:cs="Arial"/>
          <w:lang w:eastAsia="en-ZA"/>
        </w:rPr>
        <w:t xml:space="preserve">orensic Laboratory </w:t>
      </w:r>
      <w:r w:rsidRPr="00500CCB">
        <w:rPr>
          <w:rFonts w:ascii="Arial" w:hAnsi="Arial" w:cs="Arial"/>
          <w:lang w:eastAsia="en-ZA"/>
        </w:rPr>
        <w:t>increased, it remains inadequate to address the increasing work load.</w:t>
      </w:r>
      <w:r>
        <w:rPr>
          <w:rFonts w:ascii="Arial" w:hAnsi="Arial" w:cs="Arial"/>
          <w:lang w:eastAsia="en-ZA"/>
        </w:rPr>
        <w:t xml:space="preserve"> </w:t>
      </w:r>
      <w:r w:rsidRPr="00500CCB">
        <w:rPr>
          <w:rFonts w:ascii="Arial" w:hAnsi="Arial" w:cs="Arial"/>
          <w:lang w:eastAsia="en-ZA"/>
        </w:rPr>
        <w:t>A pilot project</w:t>
      </w:r>
      <w:r>
        <w:rPr>
          <w:rFonts w:ascii="Arial" w:hAnsi="Arial" w:cs="Arial"/>
          <w:lang w:eastAsia="en-ZA"/>
        </w:rPr>
        <w:t>,</w:t>
      </w:r>
      <w:r w:rsidRPr="00500CCB">
        <w:rPr>
          <w:rFonts w:ascii="Arial" w:hAnsi="Arial" w:cs="Arial"/>
          <w:lang w:eastAsia="en-ZA"/>
        </w:rPr>
        <w:t xml:space="preserve"> using new technology with flexi-hour shifts</w:t>
      </w:r>
      <w:r>
        <w:rPr>
          <w:rFonts w:ascii="Arial" w:hAnsi="Arial" w:cs="Arial"/>
          <w:lang w:eastAsia="en-ZA"/>
        </w:rPr>
        <w:t>,</w:t>
      </w:r>
      <w:r w:rsidRPr="00500CCB">
        <w:rPr>
          <w:rFonts w:ascii="Arial" w:hAnsi="Arial" w:cs="Arial"/>
          <w:lang w:eastAsia="en-ZA"/>
        </w:rPr>
        <w:t xml:space="preserve"> has also been implemented </w:t>
      </w:r>
      <w:r>
        <w:rPr>
          <w:rFonts w:ascii="Arial" w:hAnsi="Arial" w:cs="Arial"/>
          <w:lang w:eastAsia="en-ZA"/>
        </w:rPr>
        <w:t xml:space="preserve">at the </w:t>
      </w:r>
      <w:r w:rsidRPr="00500CCB">
        <w:rPr>
          <w:rFonts w:ascii="Arial" w:hAnsi="Arial" w:cs="Arial"/>
          <w:lang w:eastAsia="en-ZA"/>
        </w:rPr>
        <w:t xml:space="preserve">Western Cape </w:t>
      </w:r>
      <w:r>
        <w:rPr>
          <w:rFonts w:ascii="Arial" w:hAnsi="Arial" w:cs="Arial"/>
          <w:lang w:eastAsia="en-ZA"/>
        </w:rPr>
        <w:t xml:space="preserve">Forensic Laboratory, </w:t>
      </w:r>
      <w:r w:rsidRPr="00500CCB">
        <w:rPr>
          <w:rFonts w:ascii="Arial" w:hAnsi="Arial" w:cs="Arial"/>
          <w:lang w:eastAsia="en-ZA"/>
        </w:rPr>
        <w:t xml:space="preserve">to improve the processing of the </w:t>
      </w:r>
      <w:r>
        <w:rPr>
          <w:rFonts w:ascii="Arial" w:hAnsi="Arial" w:cs="Arial"/>
          <w:lang w:eastAsia="en-ZA"/>
        </w:rPr>
        <w:t xml:space="preserve">less serious </w:t>
      </w:r>
      <w:r w:rsidRPr="00500CCB">
        <w:rPr>
          <w:rFonts w:ascii="Arial" w:hAnsi="Arial" w:cs="Arial"/>
          <w:lang w:eastAsia="en-ZA"/>
        </w:rPr>
        <w:t>cases.</w:t>
      </w:r>
      <w:bookmarkStart w:id="0" w:name="_GoBack"/>
      <w:bookmarkEnd w:id="0"/>
    </w:p>
    <w:sectPr w:rsidR="00A122B4" w:rsidRPr="00500CC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55" w:rsidRDefault="00D70055" w:rsidP="00020C8A">
      <w:r>
        <w:separator/>
      </w:r>
    </w:p>
  </w:endnote>
  <w:endnote w:type="continuationSeparator" w:id="0">
    <w:p w:rsidR="00D70055" w:rsidRDefault="00D7005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55" w:rsidRDefault="00D70055" w:rsidP="00020C8A">
      <w:r>
        <w:separator/>
      </w:r>
    </w:p>
  </w:footnote>
  <w:footnote w:type="continuationSeparator" w:id="0">
    <w:p w:rsidR="00D70055" w:rsidRDefault="00D7005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929"/>
    <w:multiLevelType w:val="hybridMultilevel"/>
    <w:tmpl w:val="1A9657EA"/>
    <w:lvl w:ilvl="0" w:tplc="ED7EA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1274"/>
    <w:multiLevelType w:val="hybridMultilevel"/>
    <w:tmpl w:val="768EB15C"/>
    <w:lvl w:ilvl="0" w:tplc="8690DE5C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120" w:hanging="360"/>
      </w:pPr>
    </w:lvl>
    <w:lvl w:ilvl="2" w:tplc="1C09001B" w:tentative="1">
      <w:start w:val="1"/>
      <w:numFmt w:val="lowerRoman"/>
      <w:lvlText w:val="%3."/>
      <w:lvlJc w:val="right"/>
      <w:pPr>
        <w:ind w:left="6840" w:hanging="180"/>
      </w:pPr>
    </w:lvl>
    <w:lvl w:ilvl="3" w:tplc="1C09000F" w:tentative="1">
      <w:start w:val="1"/>
      <w:numFmt w:val="decimal"/>
      <w:lvlText w:val="%4."/>
      <w:lvlJc w:val="left"/>
      <w:pPr>
        <w:ind w:left="7560" w:hanging="360"/>
      </w:pPr>
    </w:lvl>
    <w:lvl w:ilvl="4" w:tplc="1C090019" w:tentative="1">
      <w:start w:val="1"/>
      <w:numFmt w:val="lowerLetter"/>
      <w:lvlText w:val="%5."/>
      <w:lvlJc w:val="left"/>
      <w:pPr>
        <w:ind w:left="8280" w:hanging="360"/>
      </w:pPr>
    </w:lvl>
    <w:lvl w:ilvl="5" w:tplc="1C09001B" w:tentative="1">
      <w:start w:val="1"/>
      <w:numFmt w:val="lowerRoman"/>
      <w:lvlText w:val="%6."/>
      <w:lvlJc w:val="right"/>
      <w:pPr>
        <w:ind w:left="9000" w:hanging="180"/>
      </w:pPr>
    </w:lvl>
    <w:lvl w:ilvl="6" w:tplc="1C09000F" w:tentative="1">
      <w:start w:val="1"/>
      <w:numFmt w:val="decimal"/>
      <w:lvlText w:val="%7."/>
      <w:lvlJc w:val="left"/>
      <w:pPr>
        <w:ind w:left="9720" w:hanging="360"/>
      </w:pPr>
    </w:lvl>
    <w:lvl w:ilvl="7" w:tplc="1C090019" w:tentative="1">
      <w:start w:val="1"/>
      <w:numFmt w:val="lowerLetter"/>
      <w:lvlText w:val="%8."/>
      <w:lvlJc w:val="left"/>
      <w:pPr>
        <w:ind w:left="10440" w:hanging="360"/>
      </w:pPr>
    </w:lvl>
    <w:lvl w:ilvl="8" w:tplc="1C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2"/>
  </w:num>
  <w:num w:numId="6">
    <w:abstractNumId w:val="38"/>
  </w:num>
  <w:num w:numId="7">
    <w:abstractNumId w:val="4"/>
  </w:num>
  <w:num w:numId="8">
    <w:abstractNumId w:val="7"/>
  </w:num>
  <w:num w:numId="9">
    <w:abstractNumId w:val="31"/>
  </w:num>
  <w:num w:numId="10">
    <w:abstractNumId w:val="27"/>
  </w:num>
  <w:num w:numId="11">
    <w:abstractNumId w:val="6"/>
  </w:num>
  <w:num w:numId="12">
    <w:abstractNumId w:val="24"/>
  </w:num>
  <w:num w:numId="13">
    <w:abstractNumId w:val="32"/>
  </w:num>
  <w:num w:numId="14">
    <w:abstractNumId w:val="40"/>
  </w:num>
  <w:num w:numId="15">
    <w:abstractNumId w:val="35"/>
  </w:num>
  <w:num w:numId="16">
    <w:abstractNumId w:val="28"/>
  </w:num>
  <w:num w:numId="17">
    <w:abstractNumId w:val="41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15"/>
  </w:num>
  <w:num w:numId="23">
    <w:abstractNumId w:val="10"/>
  </w:num>
  <w:num w:numId="24">
    <w:abstractNumId w:val="29"/>
  </w:num>
  <w:num w:numId="25">
    <w:abstractNumId w:val="25"/>
  </w:num>
  <w:num w:numId="26">
    <w:abstractNumId w:val="8"/>
  </w:num>
  <w:num w:numId="27">
    <w:abstractNumId w:val="37"/>
  </w:num>
  <w:num w:numId="28">
    <w:abstractNumId w:val="16"/>
  </w:num>
  <w:num w:numId="29">
    <w:abstractNumId w:val="22"/>
  </w:num>
  <w:num w:numId="30">
    <w:abstractNumId w:val="18"/>
  </w:num>
  <w:num w:numId="31">
    <w:abstractNumId w:val="12"/>
  </w:num>
  <w:num w:numId="32">
    <w:abstractNumId w:val="43"/>
  </w:num>
  <w:num w:numId="33">
    <w:abstractNumId w:val="21"/>
  </w:num>
  <w:num w:numId="34">
    <w:abstractNumId w:val="23"/>
  </w:num>
  <w:num w:numId="35">
    <w:abstractNumId w:val="30"/>
  </w:num>
  <w:num w:numId="36">
    <w:abstractNumId w:val="26"/>
  </w:num>
  <w:num w:numId="37">
    <w:abstractNumId w:val="20"/>
  </w:num>
  <w:num w:numId="38">
    <w:abstractNumId w:val="17"/>
  </w:num>
  <w:num w:numId="39">
    <w:abstractNumId w:val="1"/>
  </w:num>
  <w:num w:numId="40">
    <w:abstractNumId w:val="44"/>
  </w:num>
  <w:num w:numId="41">
    <w:abstractNumId w:val="0"/>
  </w:num>
  <w:num w:numId="42">
    <w:abstractNumId w:val="3"/>
  </w:num>
  <w:num w:numId="43">
    <w:abstractNumId w:val="5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5838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1B2E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62375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1AE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56D5E"/>
    <w:rsid w:val="00773CD1"/>
    <w:rsid w:val="00775D04"/>
    <w:rsid w:val="007824F1"/>
    <w:rsid w:val="007B44B4"/>
    <w:rsid w:val="00806642"/>
    <w:rsid w:val="0084083E"/>
    <w:rsid w:val="008479A5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22B4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70055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2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2017-10-12T15:00:00Z</dcterms:created>
  <dcterms:modified xsi:type="dcterms:W3CDTF">2017-10-12T15:00:00Z</dcterms:modified>
</cp:coreProperties>
</file>