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02" w:rsidRPr="002E7CD1" w:rsidRDefault="003C1502"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27 August 2015</w:t>
      </w:r>
    </w:p>
    <w:p w:rsidR="003C1502" w:rsidRDefault="003C1502"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3C1502" w:rsidRPr="002E7CD1" w:rsidRDefault="003C1502"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2812 /</w:t>
      </w:r>
      <w:r w:rsidRPr="002E7CD1">
        <w:rPr>
          <w:rFonts w:ascii="Arial" w:hAnsi="Arial" w:cs="Arial"/>
          <w:b/>
          <w:lang w:val="en-ZA"/>
        </w:rPr>
        <w:t>201</w:t>
      </w:r>
      <w:r>
        <w:rPr>
          <w:rFonts w:ascii="Arial" w:hAnsi="Arial" w:cs="Arial"/>
          <w:b/>
          <w:lang w:val="en-ZA"/>
        </w:rPr>
        <w:t>5</w:t>
      </w:r>
    </w:p>
    <w:p w:rsidR="003C1502" w:rsidRPr="002E7CD1" w:rsidRDefault="003C1502"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3C1502" w:rsidRPr="0089068D" w:rsidRDefault="003C1502"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07 August </w:t>
      </w:r>
      <w:r w:rsidRPr="0089068D">
        <w:rPr>
          <w:rFonts w:ascii="Arial" w:hAnsi="Arial" w:cs="Arial"/>
          <w:sz w:val="22"/>
          <w:szCs w:val="22"/>
          <w:lang w:val="en-ZA"/>
        </w:rPr>
        <w:t>2015</w:t>
      </w:r>
    </w:p>
    <w:p w:rsidR="003C1502" w:rsidRDefault="003C1502"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28</w:t>
      </w:r>
    </w:p>
    <w:p w:rsidR="003C1502" w:rsidRPr="006C68A4" w:rsidRDefault="003C1502" w:rsidP="00E1671A">
      <w:pPr>
        <w:rPr>
          <w:rFonts w:ascii="Arial" w:hAnsi="Arial" w:cs="Arial"/>
          <w:sz w:val="22"/>
          <w:szCs w:val="22"/>
          <w:lang w:val="en-ZA"/>
        </w:rPr>
      </w:pPr>
    </w:p>
    <w:p w:rsidR="003C1502" w:rsidRPr="00010387" w:rsidRDefault="003C1502" w:rsidP="00010387">
      <w:pPr>
        <w:spacing w:before="100" w:beforeAutospacing="1" w:after="100" w:afterAutospacing="1"/>
        <w:jc w:val="both"/>
        <w:outlineLvl w:val="0"/>
        <w:rPr>
          <w:rFonts w:ascii="Arial" w:hAnsi="Arial" w:cs="Arial"/>
          <w:b/>
        </w:rPr>
      </w:pPr>
      <w:r w:rsidRPr="00010387">
        <w:rPr>
          <w:rFonts w:ascii="Arial" w:hAnsi="Arial" w:cs="Arial"/>
          <w:b/>
        </w:rPr>
        <w:t>2812.</w:t>
      </w:r>
      <w:r w:rsidRPr="00010387">
        <w:rPr>
          <w:rFonts w:ascii="Arial" w:hAnsi="Arial" w:cs="Arial"/>
          <w:b/>
        </w:rPr>
        <w:tab/>
        <w:t xml:space="preserve">Ms S P </w:t>
      </w:r>
      <w:r w:rsidRPr="00010387">
        <w:rPr>
          <w:rFonts w:ascii="Arial" w:hAnsi="Arial" w:cs="Arial"/>
          <w:b/>
          <w:bCs/>
          <w:lang w:val="en-ZA"/>
        </w:rPr>
        <w:t>Kopane</w:t>
      </w:r>
      <w:r w:rsidRPr="00010387">
        <w:rPr>
          <w:rFonts w:ascii="Arial" w:hAnsi="Arial" w:cs="Arial"/>
          <w:b/>
        </w:rPr>
        <w:t xml:space="preserve"> (DA) to ask the Minister of Social Development:</w:t>
      </w:r>
    </w:p>
    <w:p w:rsidR="003C1502" w:rsidRPr="00010387" w:rsidRDefault="003C1502" w:rsidP="00010387">
      <w:pPr>
        <w:pStyle w:val="NormalWeb"/>
        <w:ind w:left="720" w:hanging="720"/>
        <w:jc w:val="both"/>
        <w:rPr>
          <w:rFonts w:ascii="Arial" w:hAnsi="Arial" w:cs="Arial"/>
        </w:rPr>
      </w:pPr>
      <w:r w:rsidRPr="00010387">
        <w:rPr>
          <w:rFonts w:ascii="Arial" w:hAnsi="Arial" w:cs="Arial"/>
        </w:rPr>
        <w:t>(1)</w:t>
      </w:r>
      <w:r w:rsidRPr="00010387">
        <w:rPr>
          <w:rFonts w:ascii="Arial" w:hAnsi="Arial" w:cs="Arial"/>
        </w:rPr>
        <w:tab/>
        <w:t xml:space="preserve">What total amount has been allocated to each province for the provision of Early </w:t>
      </w:r>
      <w:r w:rsidRPr="00010387">
        <w:rPr>
          <w:rFonts w:ascii="Arial" w:hAnsi="Arial" w:cs="Arial"/>
          <w:color w:val="000000"/>
        </w:rPr>
        <w:t>Childhood</w:t>
      </w:r>
      <w:r w:rsidRPr="00010387">
        <w:rPr>
          <w:rFonts w:ascii="Arial" w:hAnsi="Arial" w:cs="Arial"/>
        </w:rPr>
        <w:t xml:space="preserve"> Development (ECD) services in the (a) 2013-14 and (b) 2014-15 financial years;</w:t>
      </w:r>
    </w:p>
    <w:p w:rsidR="003C1502" w:rsidRDefault="003C1502" w:rsidP="00010387">
      <w:pPr>
        <w:pStyle w:val="NormalWeb"/>
        <w:ind w:left="720" w:hanging="720"/>
        <w:jc w:val="both"/>
        <w:rPr>
          <w:rFonts w:ascii="Arial" w:hAnsi="Arial" w:cs="Arial"/>
        </w:rPr>
      </w:pPr>
      <w:r w:rsidRPr="00010387">
        <w:rPr>
          <w:rFonts w:ascii="Arial" w:hAnsi="Arial" w:cs="Arial"/>
        </w:rPr>
        <w:t>(2)</w:t>
      </w:r>
      <w:r w:rsidRPr="00010387">
        <w:rPr>
          <w:rFonts w:ascii="Arial" w:hAnsi="Arial" w:cs="Arial"/>
        </w:rPr>
        <w:tab/>
        <w:t>are there any memoranda of understanding between her and the (a) Minister of Basic Education and (b) Minister of Cooperative Governance and Traditional Affairs with regard to the specified ECD services;</w:t>
      </w:r>
    </w:p>
    <w:p w:rsidR="003C1502" w:rsidRPr="00010387" w:rsidRDefault="003C1502" w:rsidP="00010387">
      <w:pPr>
        <w:pStyle w:val="NormalWeb"/>
        <w:ind w:left="720" w:hanging="720"/>
        <w:jc w:val="both"/>
        <w:rPr>
          <w:rFonts w:ascii="Arial" w:hAnsi="Arial" w:cs="Arial"/>
        </w:rPr>
      </w:pPr>
      <w:r w:rsidRPr="00010387">
        <w:rPr>
          <w:rFonts w:ascii="Arial" w:hAnsi="Arial" w:cs="Arial"/>
        </w:rPr>
        <w:t xml:space="preserve"> (3)</w:t>
      </w:r>
      <w:r w:rsidRPr="00010387">
        <w:rPr>
          <w:rFonts w:ascii="Arial" w:hAnsi="Arial" w:cs="Arial"/>
        </w:rPr>
        <w:tab/>
        <w:t xml:space="preserve">how often has her department engaged in the supervision of all ECD centers to ensure </w:t>
      </w:r>
      <w:r w:rsidRPr="00010387">
        <w:rPr>
          <w:rFonts w:ascii="Arial" w:hAnsi="Arial" w:cs="Arial"/>
          <w:color w:val="000000"/>
        </w:rPr>
        <w:t>that</w:t>
      </w:r>
      <w:r w:rsidRPr="00010387">
        <w:rPr>
          <w:rFonts w:ascii="Arial" w:hAnsi="Arial" w:cs="Arial"/>
        </w:rPr>
        <w:t xml:space="preserve"> they comply with requisite norms and standards?</w:t>
      </w:r>
      <w:r w:rsidRPr="00010387">
        <w:rPr>
          <w:rFonts w:ascii="Arial" w:hAnsi="Arial" w:cs="Arial"/>
        </w:rPr>
        <w:tab/>
      </w:r>
      <w:r w:rsidRPr="00010387">
        <w:rPr>
          <w:rFonts w:ascii="Arial" w:hAnsi="Arial" w:cs="Arial"/>
          <w:sz w:val="20"/>
          <w:szCs w:val="20"/>
        </w:rPr>
        <w:t>NW3284E</w:t>
      </w:r>
      <w:r w:rsidRPr="00010387">
        <w:rPr>
          <w:rFonts w:ascii="Arial" w:hAnsi="Arial" w:cs="Arial"/>
          <w:color w:val="222222"/>
          <w:sz w:val="20"/>
          <w:szCs w:val="20"/>
        </w:rPr>
        <w:tab/>
      </w:r>
    </w:p>
    <w:p w:rsidR="003C1502" w:rsidRDefault="003C1502" w:rsidP="00B5263F">
      <w:pPr>
        <w:tabs>
          <w:tab w:val="left" w:pos="1335"/>
        </w:tabs>
        <w:jc w:val="both"/>
        <w:rPr>
          <w:rFonts w:ascii="Arial" w:hAnsi="Arial" w:cs="Arial"/>
          <w:b/>
        </w:rPr>
      </w:pPr>
    </w:p>
    <w:p w:rsidR="003C1502" w:rsidRDefault="003C1502" w:rsidP="00B7108B">
      <w:pPr>
        <w:tabs>
          <w:tab w:val="left" w:pos="1335"/>
        </w:tabs>
        <w:rPr>
          <w:rFonts w:ascii="Arial" w:hAnsi="Arial" w:cs="Arial"/>
          <w:b/>
        </w:rPr>
      </w:pPr>
    </w:p>
    <w:p w:rsidR="003C1502" w:rsidRDefault="003C1502" w:rsidP="00E24BC6">
      <w:pPr>
        <w:tabs>
          <w:tab w:val="left" w:pos="1335"/>
        </w:tabs>
        <w:rPr>
          <w:rFonts w:ascii="Arial" w:hAnsi="Arial" w:cs="Arial"/>
          <w:b/>
        </w:rPr>
      </w:pPr>
      <w:r w:rsidRPr="006C5F96">
        <w:rPr>
          <w:rFonts w:ascii="Arial" w:hAnsi="Arial" w:cs="Arial"/>
          <w:b/>
        </w:rPr>
        <w:t>Reply:</w:t>
      </w:r>
    </w:p>
    <w:p w:rsidR="003C1502" w:rsidRDefault="003C1502" w:rsidP="00E24BC6">
      <w:pPr>
        <w:tabs>
          <w:tab w:val="left" w:pos="1335"/>
        </w:tabs>
        <w:rPr>
          <w:rFonts w:ascii="Arial" w:hAnsi="Arial" w:cs="Arial"/>
          <w:b/>
        </w:rPr>
      </w:pPr>
    </w:p>
    <w:p w:rsidR="003C1502" w:rsidRPr="001817EB" w:rsidRDefault="003C1502" w:rsidP="001817EB">
      <w:pPr>
        <w:tabs>
          <w:tab w:val="left" w:pos="1335"/>
        </w:tabs>
        <w:rPr>
          <w:rFonts w:ascii="Arial" w:hAnsi="Arial" w:cs="Arial"/>
          <w:b/>
        </w:rPr>
      </w:pPr>
      <w:r>
        <w:rPr>
          <w:rFonts w:ascii="Arial" w:hAnsi="Arial" w:cs="Arial"/>
          <w:b/>
        </w:rPr>
        <w:t>1.</w:t>
      </w:r>
    </w:p>
    <w:tbl>
      <w:tblPr>
        <w:tblpPr w:leftFromText="180" w:rightFromText="180" w:vertAnchor="text" w:horzAnchor="margin" w:tblpX="817"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409"/>
        <w:gridCol w:w="3119"/>
      </w:tblGrid>
      <w:tr w:rsidR="003C1502" w:rsidRPr="00625B88" w:rsidTr="005E7C23">
        <w:tc>
          <w:tcPr>
            <w:tcW w:w="2802" w:type="dxa"/>
            <w:tcBorders>
              <w:top w:val="single" w:sz="4" w:space="0" w:color="auto"/>
              <w:left w:val="single" w:sz="4" w:space="0" w:color="auto"/>
              <w:bottom w:val="single" w:sz="4" w:space="0" w:color="auto"/>
              <w:right w:val="single" w:sz="4" w:space="0" w:color="auto"/>
            </w:tcBorders>
            <w:shd w:val="clear" w:color="auto" w:fill="EEECE1"/>
          </w:tcPr>
          <w:p w:rsidR="003C1502" w:rsidRPr="005E7C23" w:rsidRDefault="003C1502" w:rsidP="005E7C23">
            <w:pPr>
              <w:tabs>
                <w:tab w:val="left" w:pos="1335"/>
              </w:tabs>
              <w:spacing w:line="360" w:lineRule="auto"/>
              <w:ind w:left="720" w:hanging="720"/>
              <w:jc w:val="both"/>
              <w:rPr>
                <w:rFonts w:ascii="Arial" w:hAnsi="Arial" w:cs="Arial"/>
                <w:b/>
                <w:sz w:val="22"/>
                <w:szCs w:val="22"/>
              </w:rPr>
            </w:pPr>
            <w:r w:rsidRPr="005E7C23">
              <w:rPr>
                <w:rFonts w:ascii="Arial" w:hAnsi="Arial" w:cs="Arial"/>
                <w:b/>
                <w:sz w:val="22"/>
                <w:szCs w:val="22"/>
              </w:rPr>
              <w:t xml:space="preserve">PROVINCE </w:t>
            </w:r>
          </w:p>
          <w:p w:rsidR="003C1502" w:rsidRPr="005E7C23" w:rsidRDefault="003C1502" w:rsidP="005E7C23">
            <w:pPr>
              <w:tabs>
                <w:tab w:val="left" w:pos="1335"/>
              </w:tabs>
              <w:spacing w:line="360" w:lineRule="auto"/>
              <w:ind w:left="720" w:hanging="720"/>
              <w:jc w:val="both"/>
              <w:rPr>
                <w:rFonts w:ascii="Arial" w:hAnsi="Arial" w:cs="Arial"/>
                <w:b/>
                <w:sz w:val="22"/>
                <w:szCs w:val="22"/>
              </w:rPr>
            </w:pPr>
          </w:p>
          <w:p w:rsidR="003C1502" w:rsidRPr="005E7C23" w:rsidRDefault="003C1502" w:rsidP="005E7C23">
            <w:pPr>
              <w:tabs>
                <w:tab w:val="left" w:pos="1335"/>
              </w:tabs>
              <w:spacing w:line="360" w:lineRule="auto"/>
              <w:ind w:left="720" w:hanging="720"/>
              <w:jc w:val="both"/>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EEECE1"/>
          </w:tcPr>
          <w:p w:rsidR="003C1502" w:rsidRPr="005E7C23" w:rsidRDefault="003C1502" w:rsidP="005E7C23">
            <w:pPr>
              <w:tabs>
                <w:tab w:val="left" w:pos="1335"/>
              </w:tabs>
              <w:spacing w:line="360" w:lineRule="auto"/>
              <w:ind w:left="720" w:hanging="720"/>
              <w:jc w:val="both"/>
              <w:rPr>
                <w:rFonts w:ascii="Arial" w:hAnsi="Arial" w:cs="Arial"/>
                <w:b/>
                <w:sz w:val="22"/>
                <w:szCs w:val="22"/>
              </w:rPr>
            </w:pPr>
            <w:r w:rsidRPr="005E7C23">
              <w:rPr>
                <w:rFonts w:ascii="Arial" w:hAnsi="Arial" w:cs="Arial"/>
                <w:b/>
                <w:sz w:val="22"/>
                <w:szCs w:val="22"/>
              </w:rPr>
              <w:t xml:space="preserve">FINANCIAL YEAR </w:t>
            </w:r>
          </w:p>
        </w:tc>
        <w:tc>
          <w:tcPr>
            <w:tcW w:w="3119" w:type="dxa"/>
            <w:tcBorders>
              <w:top w:val="single" w:sz="4" w:space="0" w:color="auto"/>
              <w:left w:val="single" w:sz="4" w:space="0" w:color="auto"/>
              <w:bottom w:val="single" w:sz="4" w:space="0" w:color="auto"/>
              <w:right w:val="single" w:sz="4" w:space="0" w:color="auto"/>
            </w:tcBorders>
            <w:shd w:val="clear" w:color="auto" w:fill="EEECE1"/>
          </w:tcPr>
          <w:p w:rsidR="003C1502" w:rsidRPr="005E7C23" w:rsidRDefault="003C1502" w:rsidP="005E7C23">
            <w:pPr>
              <w:tabs>
                <w:tab w:val="left" w:pos="1335"/>
              </w:tabs>
              <w:spacing w:line="360" w:lineRule="auto"/>
              <w:ind w:left="720" w:hanging="720"/>
              <w:jc w:val="both"/>
              <w:rPr>
                <w:rFonts w:ascii="Arial" w:hAnsi="Arial" w:cs="Arial"/>
                <w:b/>
                <w:sz w:val="22"/>
                <w:szCs w:val="22"/>
              </w:rPr>
            </w:pPr>
            <w:r w:rsidRPr="005E7C23">
              <w:rPr>
                <w:rFonts w:ascii="Arial" w:hAnsi="Arial" w:cs="Arial"/>
                <w:b/>
                <w:sz w:val="22"/>
                <w:szCs w:val="22"/>
              </w:rPr>
              <w:t>ALLOCATED BUDGET R’000</w:t>
            </w:r>
          </w:p>
        </w:tc>
      </w:tr>
      <w:tr w:rsidR="003C1502" w:rsidRPr="00625B88" w:rsidTr="005E7C23">
        <w:tc>
          <w:tcPr>
            <w:tcW w:w="2802" w:type="dxa"/>
            <w:vMerge w:val="restart"/>
            <w:tcBorders>
              <w:top w:val="single" w:sz="4" w:space="0" w:color="auto"/>
              <w:left w:val="single" w:sz="4" w:space="0" w:color="auto"/>
              <w:right w:val="single" w:sz="4" w:space="0" w:color="auto"/>
            </w:tcBorders>
          </w:tcPr>
          <w:p w:rsidR="003C1502" w:rsidRPr="005E7C23" w:rsidRDefault="003C1502" w:rsidP="005E7C23">
            <w:pPr>
              <w:tabs>
                <w:tab w:val="left" w:pos="1335"/>
              </w:tabs>
              <w:ind w:firstLine="720"/>
              <w:jc w:val="both"/>
              <w:rPr>
                <w:rFonts w:ascii="Arial" w:hAnsi="Arial" w:cs="Arial"/>
                <w:sz w:val="22"/>
                <w:szCs w:val="22"/>
              </w:rPr>
            </w:pPr>
          </w:p>
          <w:p w:rsidR="003C1502" w:rsidRPr="005E7C23" w:rsidRDefault="003C1502" w:rsidP="005E7C23">
            <w:pPr>
              <w:tabs>
                <w:tab w:val="left" w:pos="1335"/>
              </w:tabs>
              <w:rPr>
                <w:rFonts w:ascii="Arial" w:hAnsi="Arial" w:cs="Arial"/>
                <w:sz w:val="22"/>
                <w:szCs w:val="22"/>
              </w:rPr>
            </w:pPr>
            <w:r w:rsidRPr="005E7C23">
              <w:rPr>
                <w:rFonts w:ascii="Arial" w:hAnsi="Arial" w:cs="Arial"/>
                <w:sz w:val="22"/>
                <w:szCs w:val="22"/>
              </w:rPr>
              <w:t xml:space="preserve">Eastern Cape </w:t>
            </w:r>
          </w:p>
          <w:p w:rsidR="003C1502" w:rsidRPr="005E7C23" w:rsidRDefault="003C1502" w:rsidP="005E7C23">
            <w:pPr>
              <w:tabs>
                <w:tab w:val="left" w:pos="1335"/>
              </w:tabs>
              <w:ind w:firstLine="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R188, 753,400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firstLine="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 173,621,000</w:t>
            </w:r>
          </w:p>
        </w:tc>
      </w:tr>
      <w:tr w:rsidR="003C1502" w:rsidRPr="00625B88" w:rsidTr="005E7C23">
        <w:tc>
          <w:tcPr>
            <w:tcW w:w="2802" w:type="dxa"/>
            <w:vMerge w:val="restart"/>
            <w:tcBorders>
              <w:top w:val="single" w:sz="4" w:space="0" w:color="auto"/>
              <w:left w:val="single" w:sz="4" w:space="0" w:color="auto"/>
              <w:right w:val="single" w:sz="4" w:space="0" w:color="auto"/>
            </w:tcBorders>
          </w:tcPr>
          <w:p w:rsidR="003C1502" w:rsidRPr="005E7C23" w:rsidRDefault="003C1502" w:rsidP="005E7C23">
            <w:pPr>
              <w:tabs>
                <w:tab w:val="left" w:pos="1335"/>
              </w:tabs>
              <w:ind w:firstLine="720"/>
              <w:jc w:val="both"/>
              <w:rPr>
                <w:rFonts w:ascii="Arial" w:hAnsi="Arial" w:cs="Arial"/>
                <w:sz w:val="22"/>
                <w:szCs w:val="22"/>
              </w:rPr>
            </w:pPr>
          </w:p>
          <w:p w:rsidR="003C1502" w:rsidRPr="005E7C23" w:rsidRDefault="003C1502" w:rsidP="005E7C23">
            <w:pPr>
              <w:tabs>
                <w:tab w:val="left" w:pos="1335"/>
              </w:tabs>
              <w:ind w:firstLine="720"/>
              <w:jc w:val="both"/>
              <w:rPr>
                <w:rFonts w:ascii="Arial" w:hAnsi="Arial" w:cs="Arial"/>
                <w:sz w:val="22"/>
                <w:szCs w:val="22"/>
              </w:rPr>
            </w:pPr>
          </w:p>
          <w:p w:rsidR="003C1502" w:rsidRPr="005E7C23" w:rsidRDefault="003C1502" w:rsidP="005E7C23">
            <w:pPr>
              <w:tabs>
                <w:tab w:val="left" w:pos="1335"/>
              </w:tabs>
              <w:jc w:val="both"/>
              <w:rPr>
                <w:rFonts w:ascii="Arial" w:hAnsi="Arial" w:cs="Arial"/>
                <w:b/>
                <w:sz w:val="22"/>
                <w:szCs w:val="22"/>
              </w:rPr>
            </w:pPr>
            <w:r w:rsidRPr="005E7C23">
              <w:rPr>
                <w:rFonts w:ascii="Arial" w:hAnsi="Arial" w:cs="Arial"/>
                <w:sz w:val="22"/>
                <w:szCs w:val="22"/>
              </w:rPr>
              <w:t xml:space="preserve">Gauteng </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R284, 000.000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firstLine="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 321, 870,000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p w:rsidR="003C1502" w:rsidRPr="005E7C23" w:rsidRDefault="003C1502" w:rsidP="005E7C23">
            <w:pPr>
              <w:tabs>
                <w:tab w:val="left" w:pos="1335"/>
              </w:tabs>
              <w:ind w:left="720" w:hanging="720"/>
              <w:rPr>
                <w:rFonts w:ascii="Arial" w:hAnsi="Arial" w:cs="Arial"/>
                <w:sz w:val="22"/>
                <w:szCs w:val="22"/>
              </w:rPr>
            </w:pPr>
            <w:r w:rsidRPr="005E7C23">
              <w:rPr>
                <w:rFonts w:ascii="Arial" w:hAnsi="Arial" w:cs="Arial"/>
                <w:sz w:val="22"/>
                <w:szCs w:val="22"/>
              </w:rPr>
              <w:t>Limpopo</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R240, 000.000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R227, 000,000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North West</w:t>
            </w:r>
          </w:p>
          <w:p w:rsidR="003C1502" w:rsidRPr="005E7C23" w:rsidRDefault="003C1502" w:rsidP="005E7C23">
            <w:pPr>
              <w:tabs>
                <w:tab w:val="left" w:pos="1335"/>
              </w:tabs>
              <w:ind w:left="720" w:hanging="720"/>
              <w:jc w:val="both"/>
              <w:rPr>
                <w:rFonts w:ascii="Arial" w:hAnsi="Arial" w:cs="Arial"/>
                <w:sz w:val="22"/>
                <w:szCs w:val="22"/>
              </w:rPr>
            </w:pPr>
          </w:p>
          <w:p w:rsidR="003C1502" w:rsidRPr="005E7C23" w:rsidRDefault="003C1502" w:rsidP="005E7C23">
            <w:pPr>
              <w:tabs>
                <w:tab w:val="left" w:pos="1335"/>
              </w:tabs>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R55,000.000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 54,330,000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 xml:space="preserve">Northern </w:t>
            </w:r>
          </w:p>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Cape</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 xml:space="preserve">R71, 026.000  </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R76,030,000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Western</w:t>
            </w:r>
          </w:p>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Cape</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R282,927,000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R231, 581,000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Free State</w:t>
            </w:r>
          </w:p>
          <w:p w:rsidR="003C1502" w:rsidRPr="005E7C23" w:rsidRDefault="003C1502" w:rsidP="005E7C23">
            <w:pPr>
              <w:tabs>
                <w:tab w:val="left" w:pos="1335"/>
              </w:tabs>
              <w:ind w:left="720" w:hanging="720"/>
              <w:jc w:val="both"/>
              <w:rPr>
                <w:rFonts w:ascii="Arial" w:hAnsi="Arial" w:cs="Arial"/>
                <w:sz w:val="22"/>
                <w:szCs w:val="22"/>
              </w:rPr>
            </w:pPr>
          </w:p>
          <w:p w:rsidR="003C1502" w:rsidRPr="005E7C23" w:rsidRDefault="003C1502" w:rsidP="005E7C23">
            <w:pPr>
              <w:tabs>
                <w:tab w:val="left" w:pos="1335"/>
              </w:tabs>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R161.541.000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R175, 498,000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Mpumalanga</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R185, 296. 320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R192 ,283,000</w:t>
            </w:r>
          </w:p>
        </w:tc>
      </w:tr>
      <w:tr w:rsidR="003C1502" w:rsidRPr="00625B88" w:rsidTr="005E7C23">
        <w:tc>
          <w:tcPr>
            <w:tcW w:w="2802" w:type="dxa"/>
            <w:vMerge w:val="restart"/>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Kwazulu</w:t>
            </w:r>
          </w:p>
          <w:p w:rsidR="003C1502" w:rsidRPr="005E7C23" w:rsidRDefault="003C1502" w:rsidP="005E7C23">
            <w:pPr>
              <w:tabs>
                <w:tab w:val="left" w:pos="1335"/>
              </w:tabs>
              <w:ind w:left="720" w:hanging="720"/>
              <w:jc w:val="both"/>
              <w:rPr>
                <w:rFonts w:ascii="Arial" w:hAnsi="Arial" w:cs="Arial"/>
                <w:sz w:val="22"/>
                <w:szCs w:val="22"/>
              </w:rPr>
            </w:pPr>
            <w:r w:rsidRPr="005E7C23">
              <w:rPr>
                <w:rFonts w:ascii="Arial" w:hAnsi="Arial" w:cs="Arial"/>
                <w:sz w:val="22"/>
                <w:szCs w:val="22"/>
              </w:rPr>
              <w:t>Natal</w:t>
            </w: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2013/14</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R211, 333.000</w:t>
            </w:r>
          </w:p>
        </w:tc>
      </w:tr>
      <w:tr w:rsidR="003C1502" w:rsidRPr="00625B88" w:rsidTr="005E7C23">
        <w:tc>
          <w:tcPr>
            <w:tcW w:w="2802" w:type="dxa"/>
            <w:vMerge/>
            <w:tcBorders>
              <w:left w:val="single" w:sz="4" w:space="0" w:color="auto"/>
              <w:right w:val="single" w:sz="4" w:space="0" w:color="auto"/>
            </w:tcBorders>
          </w:tcPr>
          <w:p w:rsidR="003C1502" w:rsidRPr="005E7C23" w:rsidRDefault="003C1502" w:rsidP="005E7C23">
            <w:pPr>
              <w:tabs>
                <w:tab w:val="left" w:pos="1335"/>
              </w:tabs>
              <w:ind w:left="720" w:hanging="720"/>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2014/15</w:t>
            </w:r>
          </w:p>
        </w:tc>
        <w:tc>
          <w:tcPr>
            <w:tcW w:w="3119" w:type="dxa"/>
            <w:tcBorders>
              <w:top w:val="single" w:sz="4" w:space="0" w:color="auto"/>
              <w:left w:val="single" w:sz="4" w:space="0" w:color="auto"/>
              <w:bottom w:val="single" w:sz="4" w:space="0" w:color="auto"/>
              <w:right w:val="single" w:sz="4" w:space="0" w:color="auto"/>
            </w:tcBorders>
          </w:tcPr>
          <w:p w:rsidR="003C1502" w:rsidRPr="005E7C23" w:rsidRDefault="003C1502" w:rsidP="005E7C23">
            <w:pPr>
              <w:tabs>
                <w:tab w:val="left" w:pos="1335"/>
              </w:tabs>
              <w:spacing w:line="360" w:lineRule="auto"/>
              <w:jc w:val="both"/>
              <w:rPr>
                <w:rFonts w:ascii="Arial" w:hAnsi="Arial" w:cs="Arial"/>
                <w:sz w:val="22"/>
                <w:szCs w:val="22"/>
              </w:rPr>
            </w:pPr>
            <w:r w:rsidRPr="005E7C23">
              <w:rPr>
                <w:rFonts w:ascii="Arial" w:hAnsi="Arial" w:cs="Arial"/>
                <w:sz w:val="22"/>
                <w:szCs w:val="22"/>
              </w:rPr>
              <w:t xml:space="preserve">R219, 108,000 </w:t>
            </w:r>
          </w:p>
        </w:tc>
      </w:tr>
    </w:tbl>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B7108B">
      <w:pPr>
        <w:tabs>
          <w:tab w:val="left" w:pos="1335"/>
        </w:tabs>
        <w:rPr>
          <w:rFonts w:ascii="Arial" w:hAnsi="Arial" w:cs="Arial"/>
          <w:b/>
        </w:rPr>
      </w:pPr>
    </w:p>
    <w:p w:rsidR="003C1502" w:rsidRDefault="003C1502" w:rsidP="00087F75">
      <w:pPr>
        <w:pStyle w:val="NormalWeb"/>
        <w:ind w:left="426" w:hanging="578"/>
        <w:jc w:val="both"/>
        <w:rPr>
          <w:rFonts w:ascii="Arial" w:hAnsi="Arial" w:cs="Arial"/>
        </w:rPr>
      </w:pPr>
      <w:r>
        <w:rPr>
          <w:rFonts w:ascii="Arial" w:hAnsi="Arial" w:cs="Arial"/>
          <w:b/>
        </w:rPr>
        <w:t xml:space="preserve">2. </w:t>
      </w:r>
      <w:r w:rsidRPr="006C5F96">
        <w:rPr>
          <w:rFonts w:ascii="Arial" w:hAnsi="Arial" w:cs="Arial"/>
          <w:b/>
        </w:rPr>
        <w:t xml:space="preserve"> </w:t>
      </w:r>
      <w:r>
        <w:rPr>
          <w:rFonts w:ascii="Arial" w:hAnsi="Arial" w:cs="Arial"/>
        </w:rPr>
        <w:t>The Department of Social Development does not have any memoranda of Understanding with both the Departments. What is in place are the Terms of Reference, agreed upon among the Interdepartmental Committee for ECD which includes the departments mentioned in the question. The South African Integrated Programme of Action for ECD: Moving Ahead was approved by Cabinet on 18 September 2013, which outlines the roles and responsibilities of all Departments that deals with ECD issues.</w:t>
      </w:r>
    </w:p>
    <w:p w:rsidR="003C1502" w:rsidRPr="00087F75" w:rsidRDefault="003C1502" w:rsidP="00087F75">
      <w:pPr>
        <w:pStyle w:val="NormalWeb"/>
        <w:ind w:left="426" w:hanging="710"/>
        <w:jc w:val="both"/>
        <w:rPr>
          <w:rFonts w:ascii="Arial" w:hAnsi="Arial" w:cs="Arial"/>
        </w:rPr>
      </w:pPr>
      <w:r>
        <w:rPr>
          <w:rFonts w:ascii="Arial" w:hAnsi="Arial" w:cs="Arial"/>
          <w:b/>
        </w:rPr>
        <w:t>3.</w:t>
      </w:r>
      <w:r>
        <w:rPr>
          <w:rFonts w:ascii="Arial" w:hAnsi="Arial" w:cs="Arial"/>
        </w:rPr>
        <w:t xml:space="preserve">    According to the Children’s Act 38 of 2005, the</w:t>
      </w:r>
      <w:r w:rsidRPr="00485DA5">
        <w:rPr>
          <w:rFonts w:ascii="Arial" w:hAnsi="Arial" w:cs="Arial"/>
        </w:rPr>
        <w:t xml:space="preserve"> provincial </w:t>
      </w:r>
      <w:r>
        <w:rPr>
          <w:rFonts w:ascii="Arial" w:hAnsi="Arial" w:cs="Arial"/>
        </w:rPr>
        <w:t xml:space="preserve">head of social development must </w:t>
      </w:r>
      <w:r w:rsidRPr="00485DA5">
        <w:rPr>
          <w:rFonts w:ascii="Arial" w:hAnsi="Arial" w:cs="Arial"/>
          <w:lang w:val="en-GB"/>
        </w:rPr>
        <w:t>conduct inspections at the prescribed intervals of partial care facilities in the province to enforce the provisions of this Act.</w:t>
      </w:r>
      <w:r>
        <w:rPr>
          <w:rFonts w:ascii="Arial" w:hAnsi="Arial" w:cs="Arial"/>
          <w:lang w:val="en-GB"/>
        </w:rPr>
        <w:t xml:space="preserve"> Each province conducts monitoring of ECD centres on a quarterly basis, </w:t>
      </w:r>
      <w:bookmarkStart w:id="0" w:name="_GoBack"/>
      <w:bookmarkEnd w:id="0"/>
      <w:r>
        <w:rPr>
          <w:rFonts w:ascii="Arial" w:hAnsi="Arial" w:cs="Arial"/>
          <w:lang w:val="en-GB"/>
        </w:rPr>
        <w:t>based on their targets for the quarter.</w:t>
      </w:r>
      <w:r w:rsidRPr="00E24BC6">
        <w:t xml:space="preserve"> </w:t>
      </w:r>
    </w:p>
    <w:p w:rsidR="003C1502" w:rsidRPr="00010387" w:rsidRDefault="003C1502" w:rsidP="00485DA5">
      <w:pPr>
        <w:pStyle w:val="NormalWeb"/>
        <w:ind w:left="720" w:hanging="720"/>
        <w:jc w:val="both"/>
        <w:rPr>
          <w:rFonts w:ascii="Arial" w:hAnsi="Arial" w:cs="Arial"/>
        </w:rPr>
      </w:pPr>
    </w:p>
    <w:p w:rsidR="003C1502" w:rsidRPr="006C5F96" w:rsidRDefault="003C1502" w:rsidP="00B7108B">
      <w:pPr>
        <w:tabs>
          <w:tab w:val="left" w:pos="1335"/>
        </w:tabs>
        <w:rPr>
          <w:rFonts w:ascii="Arial" w:hAnsi="Arial" w:cs="Arial"/>
          <w:b/>
        </w:rPr>
      </w:pPr>
    </w:p>
    <w:sectPr w:rsidR="003C1502" w:rsidRPr="006C5F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02" w:rsidRDefault="003C1502" w:rsidP="0050056C">
      <w:pPr>
        <w:pStyle w:val="BodyTextIndent"/>
        <w:spacing w:line="240" w:lineRule="auto"/>
      </w:pPr>
      <w:r>
        <w:separator/>
      </w:r>
    </w:p>
  </w:endnote>
  <w:endnote w:type="continuationSeparator" w:id="0">
    <w:p w:rsidR="003C1502" w:rsidRDefault="003C1502"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02" w:rsidRDefault="003C1502">
    <w:pPr>
      <w:pStyle w:val="Footer"/>
      <w:jc w:val="center"/>
    </w:pPr>
    <w:fldSimple w:instr=" PAGE   \* MERGEFORMAT ">
      <w:r>
        <w:rPr>
          <w:noProof/>
        </w:rPr>
        <w:t>1</w:t>
      </w:r>
    </w:fldSimple>
  </w:p>
  <w:p w:rsidR="003C1502" w:rsidRDefault="003C1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02" w:rsidRDefault="003C1502" w:rsidP="0050056C">
      <w:pPr>
        <w:pStyle w:val="BodyTextIndent"/>
        <w:spacing w:line="240" w:lineRule="auto"/>
      </w:pPr>
      <w:r>
        <w:separator/>
      </w:r>
    </w:p>
  </w:footnote>
  <w:footnote w:type="continuationSeparator" w:id="0">
    <w:p w:rsidR="003C1502" w:rsidRDefault="003C1502"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84A7291"/>
    <w:multiLevelType w:val="hybridMultilevel"/>
    <w:tmpl w:val="D6B8E5B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BAE2B93"/>
    <w:multiLevelType w:val="hybridMultilevel"/>
    <w:tmpl w:val="82B25BE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6361FED"/>
    <w:multiLevelType w:val="hybridMultilevel"/>
    <w:tmpl w:val="13BEA99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4F2F"/>
    <w:rsid w:val="000767CE"/>
    <w:rsid w:val="00076B73"/>
    <w:rsid w:val="000809FA"/>
    <w:rsid w:val="00083BCC"/>
    <w:rsid w:val="0008574D"/>
    <w:rsid w:val="00087F75"/>
    <w:rsid w:val="00093D28"/>
    <w:rsid w:val="000A15BF"/>
    <w:rsid w:val="000A1CD0"/>
    <w:rsid w:val="000D01D1"/>
    <w:rsid w:val="000D0C09"/>
    <w:rsid w:val="000D435D"/>
    <w:rsid w:val="000F2600"/>
    <w:rsid w:val="00100396"/>
    <w:rsid w:val="0010181B"/>
    <w:rsid w:val="001047A1"/>
    <w:rsid w:val="00106228"/>
    <w:rsid w:val="00113455"/>
    <w:rsid w:val="0011673A"/>
    <w:rsid w:val="00126964"/>
    <w:rsid w:val="00133844"/>
    <w:rsid w:val="00141D05"/>
    <w:rsid w:val="001465DE"/>
    <w:rsid w:val="001467A0"/>
    <w:rsid w:val="00147F2F"/>
    <w:rsid w:val="001577EE"/>
    <w:rsid w:val="0016369E"/>
    <w:rsid w:val="001672D9"/>
    <w:rsid w:val="00172935"/>
    <w:rsid w:val="001761A9"/>
    <w:rsid w:val="00177CE3"/>
    <w:rsid w:val="001817EB"/>
    <w:rsid w:val="00181D89"/>
    <w:rsid w:val="00184107"/>
    <w:rsid w:val="001861ED"/>
    <w:rsid w:val="00193E6C"/>
    <w:rsid w:val="00196E23"/>
    <w:rsid w:val="001A289B"/>
    <w:rsid w:val="001A4775"/>
    <w:rsid w:val="001B0C24"/>
    <w:rsid w:val="001B291E"/>
    <w:rsid w:val="001B59EA"/>
    <w:rsid w:val="001C19E0"/>
    <w:rsid w:val="001C493C"/>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0EAD"/>
    <w:rsid w:val="00351E24"/>
    <w:rsid w:val="00362F4B"/>
    <w:rsid w:val="00381243"/>
    <w:rsid w:val="003833B5"/>
    <w:rsid w:val="0038354A"/>
    <w:rsid w:val="003861FC"/>
    <w:rsid w:val="00390271"/>
    <w:rsid w:val="003A38CE"/>
    <w:rsid w:val="003A7E2D"/>
    <w:rsid w:val="003B1796"/>
    <w:rsid w:val="003B1E74"/>
    <w:rsid w:val="003B4DC7"/>
    <w:rsid w:val="003C136E"/>
    <w:rsid w:val="003C1502"/>
    <w:rsid w:val="003C5DEC"/>
    <w:rsid w:val="003E1F89"/>
    <w:rsid w:val="003E31CC"/>
    <w:rsid w:val="003F1C15"/>
    <w:rsid w:val="003F2063"/>
    <w:rsid w:val="00401079"/>
    <w:rsid w:val="004042DC"/>
    <w:rsid w:val="004069FA"/>
    <w:rsid w:val="0044098C"/>
    <w:rsid w:val="00441AC5"/>
    <w:rsid w:val="004541D9"/>
    <w:rsid w:val="00455E95"/>
    <w:rsid w:val="00462C2C"/>
    <w:rsid w:val="00462D1E"/>
    <w:rsid w:val="00470806"/>
    <w:rsid w:val="004805B9"/>
    <w:rsid w:val="004810AF"/>
    <w:rsid w:val="00485DA5"/>
    <w:rsid w:val="004914F1"/>
    <w:rsid w:val="00493967"/>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E7C23"/>
    <w:rsid w:val="005F2FEE"/>
    <w:rsid w:val="005F5325"/>
    <w:rsid w:val="006056D1"/>
    <w:rsid w:val="006161D9"/>
    <w:rsid w:val="00620954"/>
    <w:rsid w:val="0062184C"/>
    <w:rsid w:val="00624538"/>
    <w:rsid w:val="00625B88"/>
    <w:rsid w:val="00630B0B"/>
    <w:rsid w:val="00636513"/>
    <w:rsid w:val="00646029"/>
    <w:rsid w:val="00653EA4"/>
    <w:rsid w:val="00682B0A"/>
    <w:rsid w:val="00685BE5"/>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47E9"/>
    <w:rsid w:val="008861F9"/>
    <w:rsid w:val="0089068D"/>
    <w:rsid w:val="00891BA1"/>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5894"/>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455B2"/>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6139A"/>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77212"/>
    <w:rsid w:val="00C826CE"/>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24BC6"/>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D5118"/>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table" w:customStyle="1" w:styleId="TableGrid1">
    <w:name w:val="Table Grid1"/>
    <w:uiPriority w:val="99"/>
    <w:rsid w:val="00625B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312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331</Words>
  <Characters>1892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27 August 2015</dc:title>
  <dc:subject/>
  <dc:creator>IngridN</dc:creator>
  <cp:keywords/>
  <dc:description/>
  <cp:lastModifiedBy>schuene</cp:lastModifiedBy>
  <cp:revision>2</cp:revision>
  <dcterms:created xsi:type="dcterms:W3CDTF">2015-08-27T07:46:00Z</dcterms:created>
  <dcterms:modified xsi:type="dcterms:W3CDTF">2015-08-27T07:46:00Z</dcterms:modified>
</cp:coreProperties>
</file>