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A93281">
        <w:rPr>
          <w:u w:val="none"/>
        </w:rPr>
        <w:t>2806</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A93281">
        <w:rPr>
          <w:rFonts w:ascii="Arial" w:hAnsi="Arial" w:cs="Arial"/>
          <w:b/>
          <w:bCs/>
        </w:rPr>
        <w:t xml:space="preserve"> 20 NOVEMBER</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A93281">
        <w:rPr>
          <w:u w:val="none"/>
        </w:rPr>
        <w:t>49</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A93281" w:rsidP="000D15C0">
      <w:pPr>
        <w:spacing w:line="360" w:lineRule="auto"/>
        <w:jc w:val="both"/>
        <w:outlineLvl w:val="0"/>
        <w:rPr>
          <w:rFonts w:ascii="Arial" w:hAnsi="Arial" w:cs="Arial"/>
          <w:lang w:val="en-US"/>
        </w:rPr>
      </w:pPr>
      <w:r>
        <w:rPr>
          <w:rFonts w:ascii="Arial" w:hAnsi="Arial" w:cs="Arial"/>
          <w:b/>
          <w:bCs/>
        </w:rPr>
        <w:t>Mr L Mphithi (DA)</w:t>
      </w:r>
      <w:r w:rsidR="00033CF6">
        <w:rPr>
          <w:rFonts w:ascii="Arial" w:hAnsi="Arial" w:cs="Arial"/>
          <w:b/>
          <w:bCs/>
        </w:rPr>
        <w:t xml:space="preserve">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A93281" w:rsidRDefault="00A93281" w:rsidP="00A93281">
      <w:pPr>
        <w:jc w:val="both"/>
        <w:rPr>
          <w:rFonts w:ascii="Arial" w:hAnsi="Arial" w:cs="Arial"/>
        </w:rPr>
      </w:pPr>
      <w:r>
        <w:rPr>
          <w:rFonts w:ascii="Arial" w:hAnsi="Arial" w:cs="Arial"/>
        </w:rPr>
        <w:t xml:space="preserve">(a) What is the budget for monitoring and evaluation of the National Youth Policy (NYP) 2030, (b) who will be responsible for monitoring and evaluation of the NYP 2030 in her department, (c) how will her department ensure that disaggregated data will be accessed, and (d) what is the monitoring and evaluation cycle process for completing the monitoring and evaluation plan and template?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NW3630E</w:t>
      </w:r>
    </w:p>
    <w:p w:rsidR="00033CF6" w:rsidRDefault="00033CF6" w:rsidP="000D15C0">
      <w:pPr>
        <w:spacing w:line="360" w:lineRule="auto"/>
        <w:jc w:val="both"/>
        <w:rPr>
          <w:rFonts w:ascii="Arial" w:hAnsi="Arial" w:cs="Arial"/>
          <w:b/>
          <w:sz w:val="32"/>
          <w:szCs w:val="32"/>
        </w:rPr>
      </w:pPr>
    </w:p>
    <w:p w:rsidR="00033CF6" w:rsidRDefault="000D15C0" w:rsidP="00033CF6">
      <w:pPr>
        <w:spacing w:line="360" w:lineRule="auto"/>
        <w:jc w:val="both"/>
        <w:rPr>
          <w:rFonts w:ascii="Arial" w:hAnsi="Arial" w:cs="Arial"/>
          <w:b/>
          <w:sz w:val="32"/>
          <w:szCs w:val="32"/>
        </w:rPr>
      </w:pPr>
      <w:r w:rsidRPr="007608A0">
        <w:rPr>
          <w:rFonts w:ascii="Arial" w:hAnsi="Arial" w:cs="Arial"/>
          <w:b/>
          <w:sz w:val="32"/>
          <w:szCs w:val="32"/>
        </w:rPr>
        <w:t>REPLY</w:t>
      </w:r>
    </w:p>
    <w:p w:rsidR="00A93281" w:rsidRDefault="00A93281" w:rsidP="00A93281">
      <w:pPr>
        <w:pStyle w:val="ListParagraph"/>
        <w:numPr>
          <w:ilvl w:val="0"/>
          <w:numId w:val="50"/>
        </w:numPr>
        <w:spacing w:after="0"/>
        <w:ind w:left="567" w:hanging="567"/>
        <w:jc w:val="both"/>
        <w:rPr>
          <w:rFonts w:ascii="Arial" w:hAnsi="Arial" w:cs="Arial"/>
          <w:sz w:val="24"/>
        </w:rPr>
      </w:pPr>
      <w:r>
        <w:rPr>
          <w:rFonts w:ascii="Arial" w:hAnsi="Arial" w:cs="Arial"/>
          <w:sz w:val="24"/>
          <w:szCs w:val="24"/>
        </w:rPr>
        <w:t>The budget for monitori</w:t>
      </w:r>
      <w:r w:rsidR="002F76CD">
        <w:rPr>
          <w:rFonts w:ascii="Arial" w:hAnsi="Arial" w:cs="Arial"/>
          <w:sz w:val="24"/>
          <w:szCs w:val="24"/>
        </w:rPr>
        <w:t>ng and evaluation</w:t>
      </w:r>
      <w:r>
        <w:rPr>
          <w:rFonts w:ascii="Arial" w:hAnsi="Arial" w:cs="Arial"/>
          <w:sz w:val="24"/>
          <w:szCs w:val="24"/>
        </w:rPr>
        <w:t xml:space="preserve"> of the National Youth Policy (NYP) 2030 is within the budget of the National Youth Development branch in the Department. </w:t>
      </w:r>
      <w:r>
        <w:rPr>
          <w:rFonts w:ascii="Arial" w:hAnsi="Arial" w:cs="Arial"/>
          <w:sz w:val="24"/>
        </w:rPr>
        <w:t xml:space="preserve">The total budget for the </w:t>
      </w:r>
      <w:r>
        <w:rPr>
          <w:rFonts w:ascii="Arial" w:hAnsi="Arial" w:cs="Arial"/>
          <w:sz w:val="24"/>
          <w:szCs w:val="24"/>
        </w:rPr>
        <w:t>National Youth Development branch is R10 523 000. Of that amount, R3 134</w:t>
      </w:r>
      <w:r w:rsidR="00F42218">
        <w:rPr>
          <w:rFonts w:ascii="Arial" w:hAnsi="Arial" w:cs="Arial"/>
          <w:sz w:val="24"/>
          <w:szCs w:val="24"/>
        </w:rPr>
        <w:t xml:space="preserve"> 000 </w:t>
      </w:r>
      <w:r>
        <w:rPr>
          <w:rFonts w:ascii="Arial" w:hAnsi="Arial" w:cs="Arial"/>
          <w:sz w:val="24"/>
          <w:szCs w:val="24"/>
        </w:rPr>
        <w:t xml:space="preserve">is for </w:t>
      </w:r>
      <w:r>
        <w:rPr>
          <w:rFonts w:ascii="Arial" w:hAnsi="Arial" w:cs="Arial"/>
          <w:sz w:val="24"/>
        </w:rPr>
        <w:t xml:space="preserve">goods </w:t>
      </w:r>
      <w:r w:rsidR="002F76CD">
        <w:rPr>
          <w:rFonts w:ascii="Arial" w:hAnsi="Arial" w:cs="Arial"/>
          <w:sz w:val="24"/>
        </w:rPr>
        <w:t>and services. The monitoring and evaluation</w:t>
      </w:r>
      <w:r>
        <w:rPr>
          <w:rFonts w:ascii="Arial" w:hAnsi="Arial" w:cs="Arial"/>
          <w:sz w:val="24"/>
        </w:rPr>
        <w:t xml:space="preserve"> budget is within the goods and services line item.</w:t>
      </w:r>
    </w:p>
    <w:p w:rsidR="00A93281" w:rsidRDefault="00A93281" w:rsidP="00A93281">
      <w:pPr>
        <w:pStyle w:val="ListParagraph"/>
        <w:numPr>
          <w:ilvl w:val="0"/>
          <w:numId w:val="50"/>
        </w:numPr>
        <w:spacing w:after="0"/>
        <w:ind w:left="567" w:hanging="567"/>
        <w:jc w:val="both"/>
        <w:rPr>
          <w:rFonts w:ascii="Arial" w:hAnsi="Arial" w:cs="Arial"/>
          <w:sz w:val="24"/>
        </w:rPr>
      </w:pPr>
      <w:r>
        <w:rPr>
          <w:rFonts w:ascii="Arial" w:hAnsi="Arial" w:cs="Arial"/>
          <w:sz w:val="24"/>
        </w:rPr>
        <w:t>The National Yout</w:t>
      </w:r>
      <w:r w:rsidR="002F76CD">
        <w:rPr>
          <w:rFonts w:ascii="Arial" w:hAnsi="Arial" w:cs="Arial"/>
          <w:sz w:val="24"/>
        </w:rPr>
        <w:t>h Development branch and the Monitoring and Evaluation</w:t>
      </w:r>
      <w:r>
        <w:rPr>
          <w:rFonts w:ascii="Arial" w:hAnsi="Arial" w:cs="Arial"/>
          <w:sz w:val="24"/>
        </w:rPr>
        <w:t xml:space="preserve"> unit in the Department wil</w:t>
      </w:r>
      <w:r w:rsidR="002F76CD">
        <w:rPr>
          <w:rFonts w:ascii="Arial" w:hAnsi="Arial" w:cs="Arial"/>
          <w:sz w:val="24"/>
        </w:rPr>
        <w:t>l be responsible for monitoring and evaluating the NYP2030</w:t>
      </w:r>
      <w:r>
        <w:rPr>
          <w:rFonts w:ascii="Arial" w:hAnsi="Arial" w:cs="Arial"/>
          <w:sz w:val="24"/>
        </w:rPr>
        <w:t xml:space="preserve"> and they will ensure collection, analysis and reporting of progress of high level output and outcome indicators tracking implementation of the National Youth Policy by government, civil society, and private sectors on a continuous basis. Data will be collated and the NYP2030 implementation reports will be consolidated on quarterly basis.</w:t>
      </w:r>
    </w:p>
    <w:p w:rsidR="00A93281" w:rsidRDefault="002F76CD" w:rsidP="00A93281">
      <w:pPr>
        <w:pStyle w:val="ListParagraph"/>
        <w:numPr>
          <w:ilvl w:val="0"/>
          <w:numId w:val="50"/>
        </w:numPr>
        <w:spacing w:after="0"/>
        <w:ind w:left="567" w:hanging="567"/>
        <w:jc w:val="both"/>
        <w:rPr>
          <w:rFonts w:ascii="Arial" w:hAnsi="Arial" w:cs="Arial"/>
          <w:sz w:val="24"/>
        </w:rPr>
      </w:pPr>
      <w:r>
        <w:rPr>
          <w:rFonts w:ascii="Arial" w:hAnsi="Arial" w:cs="Arial"/>
          <w:sz w:val="24"/>
        </w:rPr>
        <w:t>The Monitoring and Evaluation Framework has monitoring and evaluation tools</w:t>
      </w:r>
      <w:r w:rsidR="00A93281">
        <w:rPr>
          <w:rFonts w:ascii="Arial" w:hAnsi="Arial" w:cs="Arial"/>
          <w:sz w:val="24"/>
        </w:rPr>
        <w:t xml:space="preserve"> to be used to collect selected data that is disaggregated according to age, gender, disability status, geographic location, and racial grouping. </w:t>
      </w:r>
    </w:p>
    <w:p w:rsidR="00A93281" w:rsidRPr="000744B9" w:rsidRDefault="002F76CD" w:rsidP="000744B9">
      <w:pPr>
        <w:pStyle w:val="ListParagraph"/>
        <w:numPr>
          <w:ilvl w:val="0"/>
          <w:numId w:val="50"/>
        </w:numPr>
        <w:tabs>
          <w:tab w:val="left" w:pos="284"/>
        </w:tabs>
        <w:spacing w:after="0"/>
        <w:ind w:left="567" w:hanging="571"/>
        <w:jc w:val="both"/>
        <w:rPr>
          <w:rFonts w:ascii="Arial" w:hAnsi="Arial" w:cs="Arial"/>
          <w:sz w:val="24"/>
        </w:rPr>
      </w:pPr>
      <w:r>
        <w:rPr>
          <w:rFonts w:ascii="Arial" w:hAnsi="Arial" w:cs="Arial"/>
          <w:sz w:val="24"/>
        </w:rPr>
        <w:t>The monitoring and evaluation</w:t>
      </w:r>
      <w:r w:rsidR="00A93281">
        <w:rPr>
          <w:rFonts w:ascii="Arial" w:hAnsi="Arial" w:cs="Arial"/>
          <w:sz w:val="24"/>
        </w:rPr>
        <w:t xml:space="preserve"> plan and templates will be </w:t>
      </w:r>
      <w:r>
        <w:rPr>
          <w:rFonts w:ascii="Arial" w:hAnsi="Arial" w:cs="Arial"/>
          <w:sz w:val="24"/>
        </w:rPr>
        <w:t>completed together with the Monitoring and Evaluation</w:t>
      </w:r>
      <w:r w:rsidR="000744B9">
        <w:rPr>
          <w:rFonts w:ascii="Arial" w:hAnsi="Arial" w:cs="Arial"/>
          <w:sz w:val="24"/>
        </w:rPr>
        <w:t xml:space="preserve"> </w:t>
      </w:r>
      <w:r>
        <w:rPr>
          <w:rFonts w:ascii="Arial" w:hAnsi="Arial" w:cs="Arial"/>
          <w:sz w:val="24"/>
        </w:rPr>
        <w:t>F</w:t>
      </w:r>
      <w:r w:rsidR="00A93281">
        <w:rPr>
          <w:rFonts w:ascii="Arial" w:hAnsi="Arial" w:cs="Arial"/>
          <w:sz w:val="24"/>
        </w:rPr>
        <w:t xml:space="preserve">ramework </w:t>
      </w:r>
      <w:r w:rsidR="00A93281">
        <w:rPr>
          <w:rFonts w:ascii="Arial" w:hAnsi="Arial" w:cs="Arial"/>
          <w:sz w:val="24"/>
          <w:szCs w:val="24"/>
          <w:lang w:val="en-ZA"/>
        </w:rPr>
        <w:t xml:space="preserve">by the end of March 2021. </w:t>
      </w:r>
      <w:r w:rsidR="00A93281">
        <w:rPr>
          <w:rFonts w:ascii="Arial" w:hAnsi="Arial" w:cs="Arial"/>
          <w:sz w:val="24"/>
        </w:rPr>
        <w:t xml:space="preserve">They will be consulted with relevant stakeholders, before being processed to Cabinet for approval. </w:t>
      </w:r>
      <w:r w:rsidR="00A93281">
        <w:rPr>
          <w:rFonts w:ascii="Arial" w:hAnsi="Arial" w:cs="Arial"/>
          <w:sz w:val="24"/>
          <w:szCs w:val="24"/>
          <w:lang w:val="en-ZA"/>
        </w:rPr>
        <w:t xml:space="preserve">Capacity building sessions will also be held in all provinces with targeted implementing agents. </w:t>
      </w:r>
    </w:p>
    <w:p w:rsidR="000744B9" w:rsidRDefault="000744B9" w:rsidP="000744B9">
      <w:pPr>
        <w:pStyle w:val="ListParagraph"/>
        <w:tabs>
          <w:tab w:val="left" w:pos="284"/>
        </w:tabs>
        <w:spacing w:after="0"/>
        <w:jc w:val="both"/>
        <w:rPr>
          <w:rFonts w:ascii="Arial" w:hAnsi="Arial" w:cs="Arial"/>
          <w:sz w:val="24"/>
          <w:szCs w:val="24"/>
          <w:lang w:val="en-ZA"/>
        </w:rPr>
      </w:pPr>
    </w:p>
    <w:p w:rsidR="000744B9" w:rsidRDefault="000744B9" w:rsidP="000744B9">
      <w:pPr>
        <w:pStyle w:val="ListParagraph"/>
        <w:tabs>
          <w:tab w:val="left" w:pos="284"/>
        </w:tabs>
        <w:spacing w:after="0"/>
        <w:jc w:val="both"/>
        <w:rPr>
          <w:rFonts w:ascii="Arial" w:hAnsi="Arial" w:cs="Arial"/>
          <w:sz w:val="24"/>
          <w:szCs w:val="24"/>
          <w:lang w:val="en-ZA"/>
        </w:rPr>
      </w:pPr>
    </w:p>
    <w:sectPr w:rsidR="000744B9"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8F" w:rsidRDefault="00A26D8F">
      <w:r>
        <w:separator/>
      </w:r>
    </w:p>
  </w:endnote>
  <w:endnote w:type="continuationSeparator" w:id="1">
    <w:p w:rsidR="00A26D8F" w:rsidRDefault="00A26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8F" w:rsidRDefault="00A26D8F">
      <w:r>
        <w:separator/>
      </w:r>
    </w:p>
  </w:footnote>
  <w:footnote w:type="continuationSeparator" w:id="1">
    <w:p w:rsidR="00A26D8F" w:rsidRDefault="00A26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CE06CA"/>
    <w:multiLevelType w:val="hybridMultilevel"/>
    <w:tmpl w:val="AB682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3F15A3"/>
    <w:multiLevelType w:val="hybridMultilevel"/>
    <w:tmpl w:val="FE3E1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4F9436EA"/>
    <w:multiLevelType w:val="hybridMultilevel"/>
    <w:tmpl w:val="87D0B584"/>
    <w:lvl w:ilvl="0" w:tplc="3892C7AC">
      <w:start w:val="1"/>
      <w:numFmt w:val="lowerLetter"/>
      <w:lvlText w:val="(%1)"/>
      <w:lvlJc w:val="left"/>
      <w:pPr>
        <w:ind w:left="790" w:hanging="43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4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0448CD"/>
    <w:multiLevelType w:val="hybridMultilevel"/>
    <w:tmpl w:val="4FAE4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6"/>
  </w:num>
  <w:num w:numId="3">
    <w:abstractNumId w:val="25"/>
  </w:num>
  <w:num w:numId="4">
    <w:abstractNumId w:val="30"/>
  </w:num>
  <w:num w:numId="5">
    <w:abstractNumId w:val="4"/>
  </w:num>
  <w:num w:numId="6">
    <w:abstractNumId w:val="29"/>
  </w:num>
  <w:num w:numId="7">
    <w:abstractNumId w:val="40"/>
  </w:num>
  <w:num w:numId="8">
    <w:abstractNumId w:val="47"/>
  </w:num>
  <w:num w:numId="9">
    <w:abstractNumId w:val="19"/>
  </w:num>
  <w:num w:numId="10">
    <w:abstractNumId w:val="45"/>
  </w:num>
  <w:num w:numId="11">
    <w:abstractNumId w:val="24"/>
  </w:num>
  <w:num w:numId="12">
    <w:abstractNumId w:val="11"/>
  </w:num>
  <w:num w:numId="13">
    <w:abstractNumId w:val="34"/>
  </w:num>
  <w:num w:numId="14">
    <w:abstractNumId w:val="44"/>
  </w:num>
  <w:num w:numId="15">
    <w:abstractNumId w:val="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5"/>
  </w:num>
  <w:num w:numId="19">
    <w:abstractNumId w:val="39"/>
  </w:num>
  <w:num w:numId="20">
    <w:abstractNumId w:val="16"/>
  </w:num>
  <w:num w:numId="21">
    <w:abstractNumId w:val="37"/>
  </w:num>
  <w:num w:numId="22">
    <w:abstractNumId w:val="0"/>
  </w:num>
  <w:num w:numId="23">
    <w:abstractNumId w:val="15"/>
  </w:num>
  <w:num w:numId="24">
    <w:abstractNumId w:val="41"/>
  </w:num>
  <w:num w:numId="25">
    <w:abstractNumId w:val="5"/>
  </w:num>
  <w:num w:numId="26">
    <w:abstractNumId w:val="26"/>
  </w:num>
  <w:num w:numId="27">
    <w:abstractNumId w:val="32"/>
  </w:num>
  <w:num w:numId="28">
    <w:abstractNumId w:val="22"/>
  </w:num>
  <w:num w:numId="29">
    <w:abstractNumId w:val="38"/>
  </w:num>
  <w:num w:numId="30">
    <w:abstractNumId w:val="28"/>
  </w:num>
  <w:num w:numId="31">
    <w:abstractNumId w:val="13"/>
  </w:num>
  <w:num w:numId="32">
    <w:abstractNumId w:val="21"/>
  </w:num>
  <w:num w:numId="33">
    <w:abstractNumId w:val="31"/>
  </w:num>
  <w:num w:numId="34">
    <w:abstractNumId w:val="46"/>
  </w:num>
  <w:num w:numId="35">
    <w:abstractNumId w:val="1"/>
  </w:num>
  <w:num w:numId="36">
    <w:abstractNumId w:val="42"/>
  </w:num>
  <w:num w:numId="37">
    <w:abstractNumId w:val="12"/>
  </w:num>
  <w:num w:numId="38">
    <w:abstractNumId w:val="3"/>
  </w:num>
  <w:num w:numId="39">
    <w:abstractNumId w:val="6"/>
  </w:num>
  <w:num w:numId="40">
    <w:abstractNumId w:val="20"/>
  </w:num>
  <w:num w:numId="41">
    <w:abstractNumId w:val="17"/>
  </w:num>
  <w:num w:numId="42">
    <w:abstractNumId w:val="1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3"/>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 w:numId="49">
    <w:abstractNumId w:val="23"/>
    <w:lvlOverride w:ilvl="0"/>
    <w:lvlOverride w:ilvl="1"/>
    <w:lvlOverride w:ilvl="2"/>
    <w:lvlOverride w:ilvl="3"/>
    <w:lvlOverride w:ilvl="4"/>
    <w:lvlOverride w:ilvl="5"/>
    <w:lvlOverride w:ilvl="6"/>
    <w:lvlOverride w:ilvl="7"/>
    <w:lvlOverride w:ilvl="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0D5F"/>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3E8"/>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44B9"/>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89C"/>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1BF6"/>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6CD"/>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3A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1D7"/>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6D8F"/>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3281"/>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2218"/>
    <w:rsid w:val="00F43F06"/>
    <w:rsid w:val="00F44455"/>
    <w:rsid w:val="00F45F66"/>
    <w:rsid w:val="00F46E24"/>
    <w:rsid w:val="00F476B7"/>
    <w:rsid w:val="00F50491"/>
    <w:rsid w:val="00F5080E"/>
    <w:rsid w:val="00F52968"/>
    <w:rsid w:val="00F549EE"/>
    <w:rsid w:val="00F55221"/>
    <w:rsid w:val="00F56941"/>
    <w:rsid w:val="00F56C8A"/>
    <w:rsid w:val="00F56C8F"/>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552616395">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C75A-C31B-4974-AD0C-52839BA4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2020-12-03T08:35:00Z</dcterms:created>
  <dcterms:modified xsi:type="dcterms:W3CDTF">2020-12-03T08:35:00Z</dcterms:modified>
</cp:coreProperties>
</file>