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2A653F">
        <w:rPr>
          <w:rFonts w:ascii="Arial" w:hAnsi="Arial" w:cs="Arial"/>
          <w:b/>
          <w:bCs/>
        </w:rPr>
        <w:t>2806</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2A653F">
        <w:rPr>
          <w:rFonts w:ascii="Arial" w:hAnsi="Arial" w:cs="Arial"/>
          <w:b/>
          <w:bCs/>
          <w:u w:val="single"/>
        </w:rPr>
        <w:t>15</w:t>
      </w:r>
      <w:r w:rsidR="00E103E5">
        <w:rPr>
          <w:rFonts w:ascii="Arial" w:hAnsi="Arial" w:cs="Arial"/>
          <w:b/>
          <w:bCs/>
          <w:u w:val="single"/>
        </w:rPr>
        <w:t>/</w:t>
      </w:r>
      <w:r w:rsidR="008D7FB2">
        <w:rPr>
          <w:rFonts w:ascii="Arial" w:hAnsi="Arial" w:cs="Arial"/>
          <w:b/>
          <w:bCs/>
          <w:u w:val="single"/>
        </w:rPr>
        <w:t>09</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2A653F">
        <w:rPr>
          <w:rFonts w:ascii="Arial" w:hAnsi="Arial" w:cs="Arial"/>
          <w:b/>
          <w:bCs/>
          <w:u w:val="single"/>
        </w:rPr>
        <w:t>33</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1958D8" w:rsidRPr="001958D8" w:rsidRDefault="001958D8" w:rsidP="001958D8">
      <w:pPr>
        <w:spacing w:before="100" w:beforeAutospacing="1" w:after="100" w:afterAutospacing="1" w:line="360" w:lineRule="auto"/>
        <w:ind w:left="851" w:hanging="851"/>
        <w:jc w:val="both"/>
        <w:rPr>
          <w:rFonts w:ascii="Arial" w:hAnsi="Arial" w:cs="Arial"/>
          <w:b/>
        </w:rPr>
      </w:pPr>
      <w:r w:rsidRPr="001958D8">
        <w:rPr>
          <w:rFonts w:ascii="Arial" w:hAnsi="Arial" w:cs="Arial"/>
          <w:b/>
        </w:rPr>
        <w:t>Mr A P van der Westhuizen (DA) to ask the Minister of Higher Education and Training:</w:t>
      </w:r>
    </w:p>
    <w:p w:rsidR="001958D8" w:rsidRPr="001958D8" w:rsidRDefault="001958D8" w:rsidP="00D752A5">
      <w:pPr>
        <w:spacing w:before="100" w:beforeAutospacing="1" w:after="100" w:afterAutospacing="1" w:line="360" w:lineRule="auto"/>
        <w:ind w:left="567" w:hanging="567"/>
        <w:jc w:val="both"/>
        <w:rPr>
          <w:rFonts w:ascii="Arial" w:hAnsi="Arial" w:cs="Arial"/>
          <w:lang w:val="en-ZA" w:eastAsia="en-ZA"/>
        </w:rPr>
      </w:pPr>
      <w:r w:rsidRPr="001958D8">
        <w:rPr>
          <w:rFonts w:ascii="Arial" w:hAnsi="Arial" w:cs="Arial"/>
          <w:lang w:val="en-ZA"/>
        </w:rPr>
        <w:t>(1)</w:t>
      </w:r>
      <w:r w:rsidRPr="001958D8">
        <w:rPr>
          <w:rFonts w:ascii="Arial" w:hAnsi="Arial" w:cs="Arial"/>
          <w:lang w:val="en-ZA"/>
        </w:rPr>
        <w:tab/>
        <w:t>(a) Which contractors were awarded tenders for the (i) construction of 10 new college campuses and (ii) refurbishment of three other college campuses in terms of Bid no. DHET093 that closed on 17 June 2016, (b) what was the total value of each contract, (c) how is the work progressing at each of the specified sites, (d) by what date is construction work expected to be completed and (e) what is the estimated capacity in terms of the number of full-time learners that can be accommodated at each site;</w:t>
      </w:r>
    </w:p>
    <w:p w:rsidR="001958D8" w:rsidRPr="001958D8" w:rsidRDefault="001958D8" w:rsidP="00D752A5">
      <w:pPr>
        <w:spacing w:before="100" w:beforeAutospacing="1" w:after="100" w:afterAutospacing="1" w:line="360" w:lineRule="auto"/>
        <w:ind w:left="567" w:hanging="567"/>
        <w:jc w:val="both"/>
        <w:rPr>
          <w:rFonts w:ascii="Arial" w:hAnsi="Arial" w:cs="Arial"/>
          <w:lang w:val="en-ZA"/>
        </w:rPr>
      </w:pPr>
      <w:r w:rsidRPr="001958D8">
        <w:rPr>
          <w:rFonts w:ascii="Arial" w:hAnsi="Arial" w:cs="Arial"/>
          <w:color w:val="000000"/>
          <w:lang w:val="en-ZA"/>
        </w:rPr>
        <w:t>(2)</w:t>
      </w:r>
      <w:r w:rsidRPr="001958D8">
        <w:rPr>
          <w:rFonts w:ascii="Arial" w:hAnsi="Arial" w:cs="Arial"/>
          <w:lang w:val="en-ZA"/>
        </w:rPr>
        <w:t xml:space="preserve"> </w:t>
      </w:r>
      <w:r w:rsidRPr="001958D8">
        <w:rPr>
          <w:rFonts w:ascii="Arial" w:hAnsi="Arial" w:cs="Arial"/>
          <w:lang w:val="en-ZA"/>
        </w:rPr>
        <w:tab/>
        <w:t>whether any similar bids aimed at the expansion of the capacity of public technical and vocational education and training colleges have been awarded since the specified bid; if so, what are the relevant details?</w:t>
      </w:r>
      <w:r w:rsidRPr="001958D8">
        <w:rPr>
          <w:rFonts w:ascii="Arial" w:hAnsi="Arial" w:cs="Arial"/>
          <w:lang w:val="en-ZA"/>
        </w:rPr>
        <w:tab/>
      </w:r>
      <w:r w:rsidRPr="001958D8">
        <w:rPr>
          <w:rFonts w:ascii="Arial" w:hAnsi="Arial" w:cs="Arial"/>
          <w:lang w:val="en-ZA"/>
        </w:rPr>
        <w:tab/>
      </w:r>
    </w:p>
    <w:p w:rsidR="001E0CB6" w:rsidRPr="001958D8" w:rsidRDefault="001958D8" w:rsidP="00D752A5">
      <w:pPr>
        <w:spacing w:before="100" w:beforeAutospacing="1" w:after="100" w:afterAutospacing="1" w:line="360" w:lineRule="auto"/>
        <w:ind w:left="7920"/>
        <w:jc w:val="both"/>
        <w:rPr>
          <w:rFonts w:ascii="Arial" w:hAnsi="Arial" w:cs="Arial"/>
          <w:b/>
          <w:lang w:val="en-ZA"/>
        </w:rPr>
      </w:pPr>
      <w:r w:rsidRPr="001958D8">
        <w:rPr>
          <w:rFonts w:ascii="Arial" w:hAnsi="Arial" w:cs="Arial"/>
          <w:b/>
          <w:lang w:val="en-ZA"/>
        </w:rPr>
        <w:t>NW3113E</w:t>
      </w:r>
    </w:p>
    <w:p w:rsidR="00755ED4" w:rsidRDefault="00755ED4" w:rsidP="0029157E">
      <w:pPr>
        <w:spacing w:before="100" w:beforeAutospacing="1" w:after="100" w:afterAutospacing="1" w:line="360" w:lineRule="auto"/>
        <w:rPr>
          <w:rFonts w:ascii="Arial" w:hAnsi="Arial" w:cs="Arial"/>
          <w:b/>
          <w:sz w:val="20"/>
          <w:szCs w:val="20"/>
          <w:lang w:val="en-ZA"/>
        </w:rPr>
      </w:pPr>
    </w:p>
    <w:p w:rsidR="00AB006F" w:rsidRDefault="00AB006F" w:rsidP="0029157E">
      <w:pPr>
        <w:spacing w:before="100" w:beforeAutospacing="1" w:after="100" w:afterAutospacing="1" w:line="360" w:lineRule="auto"/>
        <w:rPr>
          <w:rFonts w:ascii="Arial" w:hAnsi="Arial" w:cs="Arial"/>
          <w:b/>
          <w:sz w:val="20"/>
          <w:szCs w:val="20"/>
          <w:lang w:val="en-ZA"/>
        </w:rPr>
      </w:pPr>
    </w:p>
    <w:p w:rsidR="00845039" w:rsidRDefault="00845039" w:rsidP="00D752A5">
      <w:pPr>
        <w:tabs>
          <w:tab w:val="left" w:pos="426"/>
        </w:tabs>
        <w:spacing w:line="360" w:lineRule="auto"/>
        <w:ind w:left="851" w:hanging="851"/>
        <w:rPr>
          <w:rFonts w:ascii="Arial" w:hAnsi="Arial" w:cs="Arial"/>
          <w:b/>
        </w:rPr>
      </w:pPr>
    </w:p>
    <w:p w:rsidR="00845039" w:rsidRDefault="00845039" w:rsidP="00D752A5">
      <w:pPr>
        <w:tabs>
          <w:tab w:val="left" w:pos="426"/>
        </w:tabs>
        <w:spacing w:line="360" w:lineRule="auto"/>
        <w:ind w:left="851" w:hanging="851"/>
        <w:rPr>
          <w:rFonts w:ascii="Arial" w:hAnsi="Arial" w:cs="Arial"/>
          <w:b/>
        </w:rPr>
      </w:pPr>
    </w:p>
    <w:p w:rsidR="00845039" w:rsidRDefault="00845039" w:rsidP="00D752A5">
      <w:pPr>
        <w:tabs>
          <w:tab w:val="left" w:pos="426"/>
        </w:tabs>
        <w:spacing w:line="360" w:lineRule="auto"/>
        <w:ind w:left="851" w:hanging="851"/>
        <w:rPr>
          <w:rFonts w:ascii="Arial" w:hAnsi="Arial" w:cs="Arial"/>
          <w:b/>
        </w:rPr>
      </w:pPr>
    </w:p>
    <w:p w:rsidR="00845039" w:rsidRDefault="00845039" w:rsidP="00D752A5">
      <w:pPr>
        <w:tabs>
          <w:tab w:val="left" w:pos="426"/>
        </w:tabs>
        <w:spacing w:line="360" w:lineRule="auto"/>
        <w:ind w:left="851" w:hanging="851"/>
        <w:rPr>
          <w:rFonts w:ascii="Arial" w:hAnsi="Arial" w:cs="Arial"/>
          <w:b/>
        </w:rPr>
      </w:pPr>
    </w:p>
    <w:p w:rsidR="00845039" w:rsidRDefault="00845039" w:rsidP="00D752A5">
      <w:pPr>
        <w:tabs>
          <w:tab w:val="left" w:pos="426"/>
        </w:tabs>
        <w:spacing w:line="360" w:lineRule="auto"/>
        <w:ind w:left="851" w:hanging="851"/>
        <w:rPr>
          <w:rFonts w:ascii="Arial" w:hAnsi="Arial" w:cs="Arial"/>
          <w:b/>
        </w:rPr>
      </w:pPr>
    </w:p>
    <w:p w:rsidR="00845039" w:rsidRDefault="00845039" w:rsidP="00D752A5">
      <w:pPr>
        <w:tabs>
          <w:tab w:val="left" w:pos="426"/>
        </w:tabs>
        <w:spacing w:line="360" w:lineRule="auto"/>
        <w:ind w:left="851" w:hanging="851"/>
        <w:rPr>
          <w:rFonts w:ascii="Arial" w:hAnsi="Arial" w:cs="Arial"/>
          <w:b/>
        </w:rPr>
      </w:pPr>
    </w:p>
    <w:p w:rsidR="00C3677B" w:rsidRDefault="00B12389" w:rsidP="00D752A5">
      <w:pPr>
        <w:tabs>
          <w:tab w:val="left" w:pos="426"/>
        </w:tabs>
        <w:spacing w:line="360" w:lineRule="auto"/>
        <w:ind w:left="851" w:hanging="851"/>
        <w:rPr>
          <w:rFonts w:ascii="Arial" w:hAnsi="Arial" w:cs="Arial"/>
          <w:b/>
        </w:rPr>
      </w:pPr>
      <w:bookmarkStart w:id="0" w:name="_GoBack"/>
      <w:bookmarkEnd w:id="0"/>
      <w:r w:rsidRPr="00875C6C">
        <w:rPr>
          <w:rFonts w:ascii="Arial" w:hAnsi="Arial" w:cs="Arial"/>
          <w:b/>
        </w:rPr>
        <w:lastRenderedPageBreak/>
        <w:t>R</w:t>
      </w:r>
      <w:r w:rsidR="00FC1A3C" w:rsidRPr="00875C6C">
        <w:rPr>
          <w:rFonts w:ascii="Arial" w:hAnsi="Arial" w:cs="Arial"/>
          <w:b/>
        </w:rPr>
        <w:t>EPLY:</w:t>
      </w:r>
    </w:p>
    <w:p w:rsidR="0090318E" w:rsidRDefault="0090318E" w:rsidP="00D752A5">
      <w:pPr>
        <w:tabs>
          <w:tab w:val="left" w:pos="426"/>
        </w:tabs>
        <w:spacing w:line="360" w:lineRule="auto"/>
        <w:ind w:left="851" w:hanging="851"/>
        <w:jc w:val="both"/>
        <w:rPr>
          <w:rFonts w:ascii="Arial" w:hAnsi="Arial" w:cs="Arial"/>
          <w:lang w:val="en-ZA"/>
        </w:rPr>
      </w:pPr>
      <w:r w:rsidRPr="001958D8">
        <w:rPr>
          <w:rFonts w:ascii="Arial" w:hAnsi="Arial" w:cs="Arial"/>
          <w:lang w:val="en-ZA"/>
        </w:rPr>
        <w:t>(1)</w:t>
      </w:r>
      <w:r w:rsidRPr="001958D8">
        <w:rPr>
          <w:rFonts w:ascii="Arial" w:hAnsi="Arial" w:cs="Arial"/>
          <w:lang w:val="en-ZA"/>
        </w:rPr>
        <w:tab/>
        <w:t xml:space="preserve">(a) </w:t>
      </w:r>
      <w:r w:rsidR="00D752A5">
        <w:rPr>
          <w:rFonts w:ascii="Arial" w:hAnsi="Arial" w:cs="Arial"/>
          <w:lang w:val="en-ZA"/>
        </w:rPr>
        <w:tab/>
      </w:r>
      <w:r>
        <w:rPr>
          <w:rFonts w:ascii="Arial" w:hAnsi="Arial" w:cs="Arial"/>
          <w:lang w:val="en-ZA"/>
        </w:rPr>
        <w:t>No contractors have been appointed</w:t>
      </w:r>
      <w:r w:rsidR="00D752A5">
        <w:rPr>
          <w:rFonts w:ascii="Arial" w:hAnsi="Arial" w:cs="Arial"/>
          <w:lang w:val="en-ZA"/>
        </w:rPr>
        <w:t xml:space="preserve">. </w:t>
      </w:r>
      <w:r w:rsidR="00363A4B">
        <w:rPr>
          <w:rFonts w:ascii="Arial" w:hAnsi="Arial" w:cs="Arial"/>
          <w:lang w:val="en-ZA"/>
        </w:rPr>
        <w:t>The t</w:t>
      </w:r>
      <w:r>
        <w:rPr>
          <w:rFonts w:ascii="Arial" w:hAnsi="Arial" w:cs="Arial"/>
          <w:lang w:val="en-ZA"/>
        </w:rPr>
        <w:t>ender process is nearing the end of the bid evaluation process.</w:t>
      </w:r>
    </w:p>
    <w:p w:rsidR="0090318E" w:rsidRDefault="00D752A5" w:rsidP="00D752A5">
      <w:pPr>
        <w:tabs>
          <w:tab w:val="left" w:pos="426"/>
        </w:tabs>
        <w:spacing w:line="360" w:lineRule="auto"/>
        <w:ind w:left="851" w:hanging="851"/>
        <w:jc w:val="both"/>
        <w:rPr>
          <w:rFonts w:ascii="Arial" w:hAnsi="Arial" w:cs="Arial"/>
          <w:lang w:val="en-ZA"/>
        </w:rPr>
      </w:pPr>
      <w:r>
        <w:rPr>
          <w:rFonts w:ascii="Arial" w:hAnsi="Arial" w:cs="Arial"/>
          <w:lang w:val="en-ZA"/>
        </w:rPr>
        <w:t xml:space="preserve">       </w:t>
      </w:r>
      <w:r w:rsidR="0090318E" w:rsidRPr="001958D8">
        <w:rPr>
          <w:rFonts w:ascii="Arial" w:hAnsi="Arial" w:cs="Arial"/>
          <w:lang w:val="en-ZA"/>
        </w:rPr>
        <w:t xml:space="preserve">(b) </w:t>
      </w:r>
      <w:r>
        <w:rPr>
          <w:rFonts w:ascii="Arial" w:hAnsi="Arial" w:cs="Arial"/>
          <w:lang w:val="en-ZA"/>
        </w:rPr>
        <w:tab/>
      </w:r>
      <w:r w:rsidR="0090318E">
        <w:rPr>
          <w:rFonts w:ascii="Arial" w:hAnsi="Arial" w:cs="Arial"/>
          <w:lang w:val="en-ZA"/>
        </w:rPr>
        <w:t>The t</w:t>
      </w:r>
      <w:r w:rsidR="0090318E" w:rsidRPr="001958D8">
        <w:rPr>
          <w:rFonts w:ascii="Arial" w:hAnsi="Arial" w:cs="Arial"/>
          <w:lang w:val="en-ZA"/>
        </w:rPr>
        <w:t>otal value of each contract</w:t>
      </w:r>
      <w:r w:rsidR="0090318E">
        <w:rPr>
          <w:rFonts w:ascii="Arial" w:hAnsi="Arial" w:cs="Arial"/>
          <w:lang w:val="en-ZA"/>
        </w:rPr>
        <w:t xml:space="preserve"> can only be disclosed once the awarding process is completed</w:t>
      </w:r>
      <w:r w:rsidR="00363A4B">
        <w:rPr>
          <w:rFonts w:ascii="Arial" w:hAnsi="Arial" w:cs="Arial"/>
          <w:lang w:val="en-ZA"/>
        </w:rPr>
        <w:t>.</w:t>
      </w:r>
    </w:p>
    <w:p w:rsidR="0090318E" w:rsidRDefault="00D752A5" w:rsidP="00D752A5">
      <w:pPr>
        <w:tabs>
          <w:tab w:val="left" w:pos="426"/>
        </w:tabs>
        <w:spacing w:line="360" w:lineRule="auto"/>
        <w:ind w:left="851" w:hanging="851"/>
        <w:jc w:val="both"/>
        <w:rPr>
          <w:rFonts w:ascii="Arial" w:hAnsi="Arial" w:cs="Arial"/>
          <w:lang w:val="en-ZA"/>
        </w:rPr>
      </w:pPr>
      <w:r>
        <w:rPr>
          <w:rFonts w:ascii="Arial" w:hAnsi="Arial" w:cs="Arial"/>
          <w:lang w:val="en-ZA"/>
        </w:rPr>
        <w:t xml:space="preserve">       </w:t>
      </w:r>
      <w:r w:rsidR="0090318E" w:rsidRPr="001958D8">
        <w:rPr>
          <w:rFonts w:ascii="Arial" w:hAnsi="Arial" w:cs="Arial"/>
          <w:lang w:val="en-ZA"/>
        </w:rPr>
        <w:t xml:space="preserve">(c) </w:t>
      </w:r>
      <w:r>
        <w:rPr>
          <w:rFonts w:ascii="Arial" w:hAnsi="Arial" w:cs="Arial"/>
          <w:lang w:val="en-ZA"/>
        </w:rPr>
        <w:tab/>
        <w:t xml:space="preserve">Not applicable. </w:t>
      </w:r>
    </w:p>
    <w:p w:rsidR="00363A4B" w:rsidRDefault="00D752A5" w:rsidP="00D752A5">
      <w:pPr>
        <w:tabs>
          <w:tab w:val="left" w:pos="426"/>
        </w:tabs>
        <w:spacing w:line="360" w:lineRule="auto"/>
        <w:ind w:left="851" w:hanging="851"/>
        <w:jc w:val="both"/>
        <w:rPr>
          <w:rFonts w:ascii="Arial" w:hAnsi="Arial" w:cs="Arial"/>
          <w:lang w:val="en-ZA"/>
        </w:rPr>
      </w:pPr>
      <w:r>
        <w:rPr>
          <w:rFonts w:ascii="Arial" w:hAnsi="Arial" w:cs="Arial"/>
          <w:lang w:val="en-ZA"/>
        </w:rPr>
        <w:t xml:space="preserve">       </w:t>
      </w:r>
      <w:r w:rsidR="0090318E" w:rsidRPr="001958D8">
        <w:rPr>
          <w:rFonts w:ascii="Arial" w:hAnsi="Arial" w:cs="Arial"/>
          <w:lang w:val="en-ZA"/>
        </w:rPr>
        <w:t xml:space="preserve">(d) </w:t>
      </w:r>
      <w:r>
        <w:rPr>
          <w:rFonts w:ascii="Arial" w:hAnsi="Arial" w:cs="Arial"/>
          <w:lang w:val="en-ZA"/>
        </w:rPr>
        <w:tab/>
      </w:r>
      <w:r w:rsidR="0090318E">
        <w:rPr>
          <w:rFonts w:ascii="Arial" w:hAnsi="Arial" w:cs="Arial"/>
          <w:lang w:val="en-ZA"/>
        </w:rPr>
        <w:t>The</w:t>
      </w:r>
      <w:r w:rsidR="0090318E" w:rsidRPr="001958D8">
        <w:rPr>
          <w:rFonts w:ascii="Arial" w:hAnsi="Arial" w:cs="Arial"/>
          <w:lang w:val="en-ZA"/>
        </w:rPr>
        <w:t xml:space="preserve"> construction work</w:t>
      </w:r>
      <w:r w:rsidR="00363A4B">
        <w:rPr>
          <w:rFonts w:ascii="Arial" w:hAnsi="Arial" w:cs="Arial"/>
          <w:lang w:val="en-ZA"/>
        </w:rPr>
        <w:t xml:space="preserve"> is</w:t>
      </w:r>
      <w:r w:rsidR="0090318E" w:rsidRPr="001958D8">
        <w:rPr>
          <w:rFonts w:ascii="Arial" w:hAnsi="Arial" w:cs="Arial"/>
          <w:lang w:val="en-ZA"/>
        </w:rPr>
        <w:t xml:space="preserve"> expected to be completed</w:t>
      </w:r>
      <w:r w:rsidR="0090318E">
        <w:rPr>
          <w:rFonts w:ascii="Arial" w:hAnsi="Arial" w:cs="Arial"/>
          <w:lang w:val="en-ZA"/>
        </w:rPr>
        <w:t xml:space="preserve"> within 18 months </w:t>
      </w:r>
      <w:r>
        <w:rPr>
          <w:rFonts w:ascii="Arial" w:hAnsi="Arial" w:cs="Arial"/>
          <w:lang w:val="en-ZA"/>
        </w:rPr>
        <w:t xml:space="preserve">from the date </w:t>
      </w:r>
      <w:r w:rsidR="0090318E">
        <w:rPr>
          <w:rFonts w:ascii="Arial" w:hAnsi="Arial" w:cs="Arial"/>
          <w:lang w:val="en-ZA"/>
        </w:rPr>
        <w:t>of award</w:t>
      </w:r>
      <w:r>
        <w:rPr>
          <w:rFonts w:ascii="Arial" w:hAnsi="Arial" w:cs="Arial"/>
          <w:lang w:val="en-ZA"/>
        </w:rPr>
        <w:t>ing</w:t>
      </w:r>
      <w:r w:rsidR="00363A4B">
        <w:rPr>
          <w:rFonts w:ascii="Arial" w:hAnsi="Arial" w:cs="Arial"/>
          <w:lang w:val="en-ZA"/>
        </w:rPr>
        <w:t>.</w:t>
      </w:r>
    </w:p>
    <w:p w:rsidR="0090318E" w:rsidRPr="001958D8" w:rsidRDefault="00D752A5" w:rsidP="00D752A5">
      <w:pPr>
        <w:tabs>
          <w:tab w:val="left" w:pos="426"/>
        </w:tabs>
        <w:spacing w:line="360" w:lineRule="auto"/>
        <w:ind w:left="851" w:hanging="851"/>
        <w:jc w:val="both"/>
        <w:rPr>
          <w:rFonts w:ascii="Arial" w:hAnsi="Arial" w:cs="Arial"/>
          <w:lang w:val="en-ZA"/>
        </w:rPr>
      </w:pPr>
      <w:r>
        <w:rPr>
          <w:rFonts w:ascii="Arial" w:hAnsi="Arial" w:cs="Arial"/>
          <w:lang w:val="en-ZA"/>
        </w:rPr>
        <w:t xml:space="preserve">       </w:t>
      </w:r>
      <w:r w:rsidR="0090318E" w:rsidRPr="001958D8">
        <w:rPr>
          <w:rFonts w:ascii="Arial" w:hAnsi="Arial" w:cs="Arial"/>
          <w:lang w:val="en-ZA"/>
        </w:rPr>
        <w:t xml:space="preserve">(e) </w:t>
      </w:r>
      <w:r>
        <w:rPr>
          <w:rFonts w:ascii="Arial" w:hAnsi="Arial" w:cs="Arial"/>
          <w:lang w:val="en-ZA"/>
        </w:rPr>
        <w:tab/>
      </w:r>
      <w:r w:rsidR="0090318E">
        <w:rPr>
          <w:rFonts w:ascii="Arial" w:hAnsi="Arial" w:cs="Arial"/>
          <w:lang w:val="en-ZA"/>
        </w:rPr>
        <w:t xml:space="preserve">The </w:t>
      </w:r>
      <w:r w:rsidR="0090318E" w:rsidRPr="001958D8">
        <w:rPr>
          <w:rFonts w:ascii="Arial" w:hAnsi="Arial" w:cs="Arial"/>
          <w:lang w:val="en-ZA"/>
        </w:rPr>
        <w:t xml:space="preserve">estimated capacity </w:t>
      </w:r>
      <w:r>
        <w:rPr>
          <w:rFonts w:ascii="Arial" w:hAnsi="Arial" w:cs="Arial"/>
          <w:lang w:val="en-ZA"/>
        </w:rPr>
        <w:t xml:space="preserve">at each site is 500 </w:t>
      </w:r>
      <w:r w:rsidR="0090318E" w:rsidRPr="001958D8">
        <w:rPr>
          <w:rFonts w:ascii="Arial" w:hAnsi="Arial" w:cs="Arial"/>
          <w:lang w:val="en-ZA"/>
        </w:rPr>
        <w:t>full-time learners</w:t>
      </w:r>
      <w:r w:rsidR="00363A4B">
        <w:rPr>
          <w:rFonts w:ascii="Arial" w:hAnsi="Arial" w:cs="Arial"/>
          <w:lang w:val="en-ZA"/>
        </w:rPr>
        <w:t>.</w:t>
      </w:r>
    </w:p>
    <w:p w:rsidR="00A37621" w:rsidRDefault="0090318E" w:rsidP="00D752A5">
      <w:pPr>
        <w:tabs>
          <w:tab w:val="left" w:pos="426"/>
        </w:tabs>
        <w:spacing w:line="360" w:lineRule="auto"/>
        <w:ind w:left="851" w:hanging="851"/>
        <w:jc w:val="both"/>
        <w:rPr>
          <w:rFonts w:ascii="Arial" w:hAnsi="Arial" w:cs="Arial"/>
          <w:b/>
        </w:rPr>
      </w:pPr>
      <w:r w:rsidRPr="001958D8">
        <w:rPr>
          <w:rFonts w:ascii="Arial" w:hAnsi="Arial" w:cs="Arial"/>
          <w:color w:val="000000"/>
          <w:lang w:val="en-ZA"/>
        </w:rPr>
        <w:t>(2)</w:t>
      </w:r>
      <w:r w:rsidRPr="001958D8">
        <w:rPr>
          <w:rFonts w:ascii="Arial" w:hAnsi="Arial" w:cs="Arial"/>
          <w:lang w:val="en-ZA"/>
        </w:rPr>
        <w:t xml:space="preserve"> </w:t>
      </w:r>
      <w:r w:rsidRPr="001958D8">
        <w:rPr>
          <w:rFonts w:ascii="Arial" w:hAnsi="Arial" w:cs="Arial"/>
          <w:lang w:val="en-ZA"/>
        </w:rPr>
        <w:tab/>
      </w:r>
      <w:r w:rsidR="00D752A5">
        <w:rPr>
          <w:rFonts w:ascii="Arial" w:hAnsi="Arial" w:cs="Arial"/>
          <w:lang w:val="en-ZA"/>
        </w:rPr>
        <w:tab/>
      </w:r>
      <w:r w:rsidR="00363A4B">
        <w:rPr>
          <w:rFonts w:ascii="Arial" w:hAnsi="Arial" w:cs="Arial"/>
          <w:lang w:val="en-ZA"/>
        </w:rPr>
        <w:t xml:space="preserve">The Department has not initiated </w:t>
      </w:r>
      <w:r w:rsidRPr="001958D8">
        <w:rPr>
          <w:rFonts w:ascii="Arial" w:hAnsi="Arial" w:cs="Arial"/>
          <w:lang w:val="en-ZA"/>
        </w:rPr>
        <w:t xml:space="preserve">any similar bids </w:t>
      </w:r>
      <w:r w:rsidR="00D752A5">
        <w:rPr>
          <w:rFonts w:ascii="Arial" w:hAnsi="Arial" w:cs="Arial"/>
          <w:lang w:val="en-ZA"/>
        </w:rPr>
        <w:t>subsequent to</w:t>
      </w:r>
      <w:r w:rsidR="00363A4B">
        <w:rPr>
          <w:rFonts w:ascii="Arial" w:hAnsi="Arial" w:cs="Arial"/>
          <w:lang w:val="en-ZA"/>
        </w:rPr>
        <w:t xml:space="preserve"> the publication of tender DHET093.</w:t>
      </w:r>
      <w:r w:rsidRPr="001958D8">
        <w:rPr>
          <w:rFonts w:ascii="Arial" w:hAnsi="Arial" w:cs="Arial"/>
          <w:lang w:val="en-ZA"/>
        </w:rPr>
        <w:tab/>
      </w:r>
    </w:p>
    <w:p w:rsidR="00A37621" w:rsidRDefault="00A37621" w:rsidP="000919A2">
      <w:pPr>
        <w:spacing w:line="360" w:lineRule="auto"/>
        <w:jc w:val="both"/>
      </w:pPr>
    </w:p>
    <w:p w:rsidR="00A37621" w:rsidRDefault="00A37621" w:rsidP="000919A2">
      <w:pPr>
        <w:spacing w:line="360" w:lineRule="auto"/>
        <w:jc w:val="both"/>
      </w:pPr>
    </w:p>
    <w:p w:rsidR="00A37621" w:rsidRDefault="00A37621" w:rsidP="000919A2">
      <w:pPr>
        <w:spacing w:line="360" w:lineRule="auto"/>
        <w:jc w:val="both"/>
      </w:pPr>
    </w:p>
    <w:p w:rsidR="00A37621" w:rsidRDefault="00A37621" w:rsidP="000919A2">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D752A5" w:rsidRDefault="00D752A5" w:rsidP="00A37621">
      <w:pPr>
        <w:spacing w:line="360" w:lineRule="auto"/>
        <w:jc w:val="both"/>
        <w:rPr>
          <w:rFonts w:ascii="Arial" w:hAnsi="Arial" w:cs="Arial"/>
        </w:rPr>
      </w:pPr>
    </w:p>
    <w:p w:rsidR="00D752A5" w:rsidRDefault="00D752A5" w:rsidP="00A37621">
      <w:pPr>
        <w:spacing w:line="360" w:lineRule="auto"/>
        <w:jc w:val="both"/>
        <w:rPr>
          <w:rFonts w:ascii="Arial" w:hAnsi="Arial" w:cs="Arial"/>
        </w:rPr>
      </w:pPr>
    </w:p>
    <w:p w:rsidR="00A37621" w:rsidRPr="00D752A5" w:rsidRDefault="00A37621" w:rsidP="00A37621">
      <w:pPr>
        <w:spacing w:line="360" w:lineRule="auto"/>
        <w:jc w:val="both"/>
        <w:rPr>
          <w:rFonts w:ascii="Arial" w:hAnsi="Arial" w:cs="Arial"/>
        </w:rPr>
      </w:pPr>
      <w:r w:rsidRPr="00D752A5">
        <w:rPr>
          <w:rFonts w:ascii="Arial" w:hAnsi="Arial" w:cs="Arial"/>
        </w:rPr>
        <w:lastRenderedPageBreak/>
        <w:t>COMPILER/CONTACT PERSONS:</w:t>
      </w:r>
      <w:r w:rsidR="000919A2" w:rsidRPr="00D752A5">
        <w:rPr>
          <w:rFonts w:ascii="Arial" w:hAnsi="Arial" w:cs="Arial"/>
        </w:rPr>
        <w:t xml:space="preserve"> </w:t>
      </w:r>
    </w:p>
    <w:p w:rsidR="00A37621" w:rsidRPr="00D752A5" w:rsidRDefault="00A37621" w:rsidP="00A37621">
      <w:pPr>
        <w:spacing w:line="360" w:lineRule="auto"/>
        <w:jc w:val="both"/>
        <w:rPr>
          <w:rFonts w:ascii="Arial" w:hAnsi="Arial" w:cs="Arial"/>
        </w:rPr>
      </w:pPr>
      <w:r w:rsidRPr="00D752A5">
        <w:rPr>
          <w:rFonts w:ascii="Arial" w:hAnsi="Arial" w:cs="Arial"/>
        </w:rPr>
        <w:t>EXT:</w:t>
      </w:r>
      <w:r w:rsidR="000919A2" w:rsidRPr="00D752A5">
        <w:rPr>
          <w:rFonts w:ascii="Arial" w:hAnsi="Arial" w:cs="Arial"/>
        </w:rPr>
        <w:t xml:space="preserve"> </w:t>
      </w:r>
    </w:p>
    <w:p w:rsidR="00A37621" w:rsidRPr="00D752A5" w:rsidRDefault="00A37621" w:rsidP="00A37621">
      <w:pPr>
        <w:spacing w:line="360" w:lineRule="auto"/>
        <w:jc w:val="both"/>
        <w:rPr>
          <w:rFonts w:ascii="Arial" w:hAnsi="Arial" w:cs="Arial"/>
        </w:rPr>
      </w:pPr>
    </w:p>
    <w:p w:rsidR="00A37621" w:rsidRPr="00D752A5" w:rsidRDefault="00A37621" w:rsidP="00A37621">
      <w:pPr>
        <w:spacing w:line="360" w:lineRule="auto"/>
        <w:jc w:val="both"/>
        <w:rPr>
          <w:rFonts w:ascii="Arial" w:hAnsi="Arial" w:cs="Arial"/>
        </w:rPr>
      </w:pPr>
    </w:p>
    <w:p w:rsidR="00A37621" w:rsidRPr="00D752A5" w:rsidRDefault="00A37621" w:rsidP="00A37621">
      <w:pPr>
        <w:spacing w:line="360" w:lineRule="auto"/>
        <w:jc w:val="both"/>
        <w:rPr>
          <w:rFonts w:ascii="Arial" w:hAnsi="Arial" w:cs="Arial"/>
        </w:rPr>
      </w:pPr>
    </w:p>
    <w:p w:rsidR="00A37621" w:rsidRPr="00D752A5" w:rsidRDefault="00A37621" w:rsidP="00A37621">
      <w:pPr>
        <w:spacing w:line="360" w:lineRule="auto"/>
        <w:jc w:val="both"/>
        <w:rPr>
          <w:rFonts w:ascii="Arial" w:hAnsi="Arial" w:cs="Arial"/>
        </w:rPr>
      </w:pPr>
      <w:r w:rsidRPr="00D752A5">
        <w:rPr>
          <w:rFonts w:ascii="Arial" w:hAnsi="Arial" w:cs="Arial"/>
        </w:rPr>
        <w:t>DIRECTOR – GENERAL</w:t>
      </w:r>
    </w:p>
    <w:p w:rsidR="00A37621" w:rsidRPr="00D752A5" w:rsidRDefault="00A37621" w:rsidP="00A37621">
      <w:pPr>
        <w:spacing w:line="360" w:lineRule="auto"/>
        <w:jc w:val="both"/>
        <w:rPr>
          <w:rFonts w:ascii="Arial" w:hAnsi="Arial" w:cs="Arial"/>
        </w:rPr>
      </w:pPr>
      <w:r w:rsidRPr="00D752A5">
        <w:rPr>
          <w:rFonts w:ascii="Arial" w:hAnsi="Arial" w:cs="Arial"/>
        </w:rPr>
        <w:t>STATUS:</w:t>
      </w:r>
    </w:p>
    <w:p w:rsidR="00A37621" w:rsidRPr="00D752A5" w:rsidRDefault="00A37621" w:rsidP="00A37621">
      <w:pPr>
        <w:spacing w:line="360" w:lineRule="auto"/>
        <w:jc w:val="both"/>
        <w:rPr>
          <w:rFonts w:ascii="Arial" w:hAnsi="Arial" w:cs="Arial"/>
        </w:rPr>
      </w:pPr>
      <w:r w:rsidRPr="00D752A5">
        <w:rPr>
          <w:rFonts w:ascii="Arial" w:hAnsi="Arial" w:cs="Arial"/>
        </w:rPr>
        <w:t>DATE:</w:t>
      </w:r>
    </w:p>
    <w:p w:rsidR="00A37621" w:rsidRPr="00D752A5" w:rsidRDefault="00A37621" w:rsidP="00A37621">
      <w:pPr>
        <w:spacing w:line="360" w:lineRule="auto"/>
        <w:jc w:val="both"/>
        <w:rPr>
          <w:rFonts w:ascii="Arial" w:hAnsi="Arial" w:cs="Arial"/>
        </w:rPr>
      </w:pPr>
    </w:p>
    <w:p w:rsidR="00A37621" w:rsidRPr="00D752A5" w:rsidRDefault="00A37621" w:rsidP="00A37621">
      <w:pPr>
        <w:spacing w:line="360" w:lineRule="auto"/>
        <w:jc w:val="both"/>
        <w:rPr>
          <w:rFonts w:ascii="Arial" w:hAnsi="Arial" w:cs="Arial"/>
        </w:rPr>
      </w:pPr>
    </w:p>
    <w:p w:rsidR="00A37621" w:rsidRPr="00D752A5" w:rsidRDefault="00A37621" w:rsidP="00A37621">
      <w:pPr>
        <w:spacing w:line="360" w:lineRule="auto"/>
        <w:jc w:val="both"/>
        <w:rPr>
          <w:rFonts w:ascii="Arial" w:hAnsi="Arial" w:cs="Arial"/>
        </w:rPr>
      </w:pPr>
    </w:p>
    <w:p w:rsidR="00A37621" w:rsidRPr="00D752A5" w:rsidRDefault="00A37621" w:rsidP="00A37621">
      <w:pPr>
        <w:spacing w:line="360" w:lineRule="auto"/>
        <w:jc w:val="both"/>
        <w:rPr>
          <w:rFonts w:ascii="Arial" w:hAnsi="Arial" w:cs="Arial"/>
        </w:rPr>
      </w:pPr>
    </w:p>
    <w:p w:rsidR="00A37621" w:rsidRPr="00D752A5" w:rsidRDefault="00A37621" w:rsidP="00A37621">
      <w:pPr>
        <w:spacing w:line="360" w:lineRule="auto"/>
        <w:jc w:val="both"/>
        <w:rPr>
          <w:rFonts w:ascii="Arial" w:hAnsi="Arial" w:cs="Arial"/>
        </w:rPr>
      </w:pPr>
      <w:r w:rsidRPr="00D752A5">
        <w:rPr>
          <w:rFonts w:ascii="Arial" w:hAnsi="Arial" w:cs="Arial"/>
        </w:rPr>
        <w:t xml:space="preserve">QUESTION </w:t>
      </w:r>
      <w:r w:rsidR="00EA5E50" w:rsidRPr="00D752A5">
        <w:rPr>
          <w:rFonts w:ascii="Arial" w:hAnsi="Arial" w:cs="Arial"/>
        </w:rPr>
        <w:t>2806</w:t>
      </w:r>
      <w:r w:rsidRPr="00D752A5">
        <w:rPr>
          <w:rFonts w:ascii="Arial" w:hAnsi="Arial" w:cs="Arial"/>
        </w:rPr>
        <w:t xml:space="preserve"> APPROVED/NOT APPROVED/AMENDED </w:t>
      </w:r>
    </w:p>
    <w:p w:rsidR="00A37621" w:rsidRPr="00D752A5" w:rsidRDefault="00A37621" w:rsidP="00A37621">
      <w:pPr>
        <w:spacing w:line="360" w:lineRule="auto"/>
        <w:jc w:val="both"/>
        <w:rPr>
          <w:rFonts w:ascii="Arial" w:hAnsi="Arial" w:cs="Arial"/>
        </w:rPr>
      </w:pPr>
    </w:p>
    <w:p w:rsidR="00A37621" w:rsidRPr="00D752A5" w:rsidRDefault="00A37621" w:rsidP="00A37621">
      <w:pPr>
        <w:spacing w:line="360" w:lineRule="auto"/>
        <w:jc w:val="both"/>
        <w:rPr>
          <w:rFonts w:ascii="Arial" w:hAnsi="Arial" w:cs="Arial"/>
        </w:rPr>
      </w:pPr>
    </w:p>
    <w:p w:rsidR="00A37621" w:rsidRPr="00D752A5" w:rsidRDefault="00A37621" w:rsidP="00A37621">
      <w:pPr>
        <w:spacing w:line="360" w:lineRule="auto"/>
        <w:jc w:val="both"/>
        <w:rPr>
          <w:rFonts w:ascii="Arial" w:hAnsi="Arial" w:cs="Arial"/>
        </w:rPr>
      </w:pPr>
    </w:p>
    <w:p w:rsidR="00A37621" w:rsidRPr="00D752A5" w:rsidRDefault="00A37621" w:rsidP="00A37621">
      <w:pPr>
        <w:spacing w:line="360" w:lineRule="auto"/>
        <w:jc w:val="both"/>
        <w:rPr>
          <w:rFonts w:ascii="Arial" w:hAnsi="Arial" w:cs="Arial"/>
        </w:rPr>
      </w:pPr>
    </w:p>
    <w:p w:rsidR="00A37621" w:rsidRPr="00D752A5" w:rsidRDefault="00A37621" w:rsidP="00A37621">
      <w:pPr>
        <w:spacing w:line="360" w:lineRule="auto"/>
        <w:jc w:val="both"/>
        <w:rPr>
          <w:rFonts w:ascii="Arial" w:hAnsi="Arial" w:cs="Arial"/>
        </w:rPr>
      </w:pPr>
    </w:p>
    <w:p w:rsidR="00A37621" w:rsidRPr="00D752A5" w:rsidRDefault="00A37621" w:rsidP="00A37621">
      <w:pPr>
        <w:spacing w:line="360" w:lineRule="auto"/>
        <w:jc w:val="both"/>
        <w:rPr>
          <w:rFonts w:ascii="Arial" w:hAnsi="Arial" w:cs="Arial"/>
        </w:rPr>
      </w:pPr>
      <w:r w:rsidRPr="00D752A5">
        <w:rPr>
          <w:rFonts w:ascii="Arial" w:hAnsi="Arial" w:cs="Arial"/>
        </w:rPr>
        <w:t>Dr B</w:t>
      </w:r>
      <w:r w:rsidR="00855EED" w:rsidRPr="00D752A5">
        <w:rPr>
          <w:rFonts w:ascii="Arial" w:hAnsi="Arial" w:cs="Arial"/>
        </w:rPr>
        <w:t>E</w:t>
      </w:r>
      <w:r w:rsidRPr="00D752A5">
        <w:rPr>
          <w:rFonts w:ascii="Arial" w:hAnsi="Arial" w:cs="Arial"/>
        </w:rPr>
        <w:t xml:space="preserve"> NZIMANDE, MP</w:t>
      </w:r>
    </w:p>
    <w:p w:rsidR="00A37621" w:rsidRPr="00D752A5" w:rsidRDefault="00A37621" w:rsidP="00A37621">
      <w:pPr>
        <w:spacing w:line="360" w:lineRule="auto"/>
        <w:jc w:val="both"/>
        <w:rPr>
          <w:rFonts w:ascii="Arial" w:hAnsi="Arial" w:cs="Arial"/>
        </w:rPr>
      </w:pPr>
      <w:r w:rsidRPr="00D752A5">
        <w:rPr>
          <w:rFonts w:ascii="Arial" w:hAnsi="Arial" w:cs="Arial"/>
        </w:rPr>
        <w:t>MINISTER OF HIGHER EDUCATION AND TRAINING</w:t>
      </w:r>
    </w:p>
    <w:p w:rsidR="00A37621" w:rsidRPr="00D752A5" w:rsidRDefault="00A37621" w:rsidP="00A37621">
      <w:pPr>
        <w:spacing w:line="360" w:lineRule="auto"/>
        <w:jc w:val="both"/>
        <w:rPr>
          <w:rFonts w:ascii="Arial" w:hAnsi="Arial" w:cs="Arial"/>
        </w:rPr>
      </w:pPr>
      <w:r w:rsidRPr="00D752A5">
        <w:rPr>
          <w:rFonts w:ascii="Arial" w:hAnsi="Arial" w:cs="Arial"/>
        </w:rPr>
        <w:t>STATUS:</w:t>
      </w:r>
    </w:p>
    <w:p w:rsidR="00D812CE" w:rsidRPr="00D752A5" w:rsidRDefault="00A37621" w:rsidP="003C6284">
      <w:pPr>
        <w:spacing w:line="360" w:lineRule="auto"/>
        <w:jc w:val="both"/>
        <w:rPr>
          <w:rFonts w:ascii="Arial" w:hAnsi="Arial" w:cs="Arial"/>
        </w:rPr>
      </w:pPr>
      <w:r w:rsidRPr="00D752A5">
        <w:rPr>
          <w:rFonts w:ascii="Arial" w:hAnsi="Arial" w:cs="Arial"/>
        </w:rPr>
        <w:t>DATE:</w:t>
      </w:r>
    </w:p>
    <w:sectPr w:rsidR="00D812CE" w:rsidRPr="00D752A5" w:rsidSect="00D752A5">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9"/>
  </w:num>
  <w:num w:numId="3">
    <w:abstractNumId w:val="5"/>
  </w:num>
  <w:num w:numId="4">
    <w:abstractNumId w:val="1"/>
  </w:num>
  <w:num w:numId="5">
    <w:abstractNumId w:val="8"/>
  </w:num>
  <w:num w:numId="6">
    <w:abstractNumId w:val="4"/>
  </w:num>
  <w:num w:numId="7">
    <w:abstractNumId w:val="6"/>
  </w:num>
  <w:num w:numId="8">
    <w:abstractNumId w:val="3"/>
  </w:num>
  <w:num w:numId="9">
    <w:abstractNumId w:val="7"/>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2293"/>
    <w:rsid w:val="000579B9"/>
    <w:rsid w:val="00063A3A"/>
    <w:rsid w:val="00066BC3"/>
    <w:rsid w:val="00075314"/>
    <w:rsid w:val="00083064"/>
    <w:rsid w:val="0008418B"/>
    <w:rsid w:val="0008426D"/>
    <w:rsid w:val="00087811"/>
    <w:rsid w:val="000919A2"/>
    <w:rsid w:val="000A02C9"/>
    <w:rsid w:val="000A0D33"/>
    <w:rsid w:val="000B221D"/>
    <w:rsid w:val="000D7B81"/>
    <w:rsid w:val="000E2985"/>
    <w:rsid w:val="000F4759"/>
    <w:rsid w:val="000F62AA"/>
    <w:rsid w:val="00102241"/>
    <w:rsid w:val="0010402E"/>
    <w:rsid w:val="0010795D"/>
    <w:rsid w:val="00125282"/>
    <w:rsid w:val="00127F6D"/>
    <w:rsid w:val="00135E62"/>
    <w:rsid w:val="00141436"/>
    <w:rsid w:val="00147BA4"/>
    <w:rsid w:val="0015436C"/>
    <w:rsid w:val="00154A43"/>
    <w:rsid w:val="00163358"/>
    <w:rsid w:val="0017030D"/>
    <w:rsid w:val="00170F48"/>
    <w:rsid w:val="00171E0F"/>
    <w:rsid w:val="001824D4"/>
    <w:rsid w:val="00183250"/>
    <w:rsid w:val="00187F34"/>
    <w:rsid w:val="00191755"/>
    <w:rsid w:val="001954F0"/>
    <w:rsid w:val="001958D8"/>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653F"/>
    <w:rsid w:val="002A7DF4"/>
    <w:rsid w:val="002C16FF"/>
    <w:rsid w:val="002C1EE8"/>
    <w:rsid w:val="002C55C5"/>
    <w:rsid w:val="002C60A6"/>
    <w:rsid w:val="002D1156"/>
    <w:rsid w:val="002D1424"/>
    <w:rsid w:val="002D59C2"/>
    <w:rsid w:val="002E3161"/>
    <w:rsid w:val="002E397C"/>
    <w:rsid w:val="002F4DC9"/>
    <w:rsid w:val="002F6B49"/>
    <w:rsid w:val="00300C93"/>
    <w:rsid w:val="00305BF7"/>
    <w:rsid w:val="003103EA"/>
    <w:rsid w:val="00313A4B"/>
    <w:rsid w:val="00315B13"/>
    <w:rsid w:val="003309B5"/>
    <w:rsid w:val="0033629B"/>
    <w:rsid w:val="0034213A"/>
    <w:rsid w:val="00344509"/>
    <w:rsid w:val="0034605E"/>
    <w:rsid w:val="003461B2"/>
    <w:rsid w:val="003517A1"/>
    <w:rsid w:val="00351E0F"/>
    <w:rsid w:val="0035694A"/>
    <w:rsid w:val="00356B7E"/>
    <w:rsid w:val="00361776"/>
    <w:rsid w:val="00363A4B"/>
    <w:rsid w:val="00366A3A"/>
    <w:rsid w:val="00375823"/>
    <w:rsid w:val="0037732E"/>
    <w:rsid w:val="00387EBB"/>
    <w:rsid w:val="00394593"/>
    <w:rsid w:val="003A43F7"/>
    <w:rsid w:val="003A4577"/>
    <w:rsid w:val="003A7BFD"/>
    <w:rsid w:val="003B48F6"/>
    <w:rsid w:val="003C58DC"/>
    <w:rsid w:val="003C5A76"/>
    <w:rsid w:val="003C6284"/>
    <w:rsid w:val="003D5AE8"/>
    <w:rsid w:val="003D7858"/>
    <w:rsid w:val="003D790C"/>
    <w:rsid w:val="003E2F70"/>
    <w:rsid w:val="003E455E"/>
    <w:rsid w:val="00405271"/>
    <w:rsid w:val="00410478"/>
    <w:rsid w:val="004170C3"/>
    <w:rsid w:val="00422B30"/>
    <w:rsid w:val="004312FC"/>
    <w:rsid w:val="00431B32"/>
    <w:rsid w:val="00431B42"/>
    <w:rsid w:val="0043279D"/>
    <w:rsid w:val="00435E33"/>
    <w:rsid w:val="00437C21"/>
    <w:rsid w:val="004415BF"/>
    <w:rsid w:val="004457FC"/>
    <w:rsid w:val="00451B1A"/>
    <w:rsid w:val="00457688"/>
    <w:rsid w:val="00463025"/>
    <w:rsid w:val="004672ED"/>
    <w:rsid w:val="004800DC"/>
    <w:rsid w:val="00491C5B"/>
    <w:rsid w:val="00492A36"/>
    <w:rsid w:val="00493F06"/>
    <w:rsid w:val="004965B4"/>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4881"/>
    <w:rsid w:val="005F63EC"/>
    <w:rsid w:val="00602765"/>
    <w:rsid w:val="0060322B"/>
    <w:rsid w:val="006034E7"/>
    <w:rsid w:val="00604366"/>
    <w:rsid w:val="00606507"/>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7E92"/>
    <w:rsid w:val="007141FA"/>
    <w:rsid w:val="00714E5D"/>
    <w:rsid w:val="00714E82"/>
    <w:rsid w:val="0071591A"/>
    <w:rsid w:val="00716D6B"/>
    <w:rsid w:val="0073173A"/>
    <w:rsid w:val="0073499F"/>
    <w:rsid w:val="00740B88"/>
    <w:rsid w:val="00743818"/>
    <w:rsid w:val="00743B02"/>
    <w:rsid w:val="00744BEC"/>
    <w:rsid w:val="0075414E"/>
    <w:rsid w:val="00755ED4"/>
    <w:rsid w:val="00762D5D"/>
    <w:rsid w:val="00763A07"/>
    <w:rsid w:val="00766ABE"/>
    <w:rsid w:val="00766ADD"/>
    <w:rsid w:val="00770DA0"/>
    <w:rsid w:val="007775FD"/>
    <w:rsid w:val="007810CD"/>
    <w:rsid w:val="00783AE6"/>
    <w:rsid w:val="007B1D95"/>
    <w:rsid w:val="007B4860"/>
    <w:rsid w:val="007C27B6"/>
    <w:rsid w:val="007C7109"/>
    <w:rsid w:val="007D695D"/>
    <w:rsid w:val="007D7318"/>
    <w:rsid w:val="007E2295"/>
    <w:rsid w:val="007E26C5"/>
    <w:rsid w:val="007E667A"/>
    <w:rsid w:val="007F068D"/>
    <w:rsid w:val="007F2479"/>
    <w:rsid w:val="007F2ADC"/>
    <w:rsid w:val="007F2D3C"/>
    <w:rsid w:val="007F2D57"/>
    <w:rsid w:val="007F7092"/>
    <w:rsid w:val="007F778F"/>
    <w:rsid w:val="0080256A"/>
    <w:rsid w:val="00807715"/>
    <w:rsid w:val="00810FD4"/>
    <w:rsid w:val="00814FBE"/>
    <w:rsid w:val="00824D7E"/>
    <w:rsid w:val="00845039"/>
    <w:rsid w:val="008455F2"/>
    <w:rsid w:val="00855EED"/>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18E"/>
    <w:rsid w:val="009033B5"/>
    <w:rsid w:val="00905FB9"/>
    <w:rsid w:val="00906DE8"/>
    <w:rsid w:val="00907B99"/>
    <w:rsid w:val="009135C0"/>
    <w:rsid w:val="00914499"/>
    <w:rsid w:val="0092006D"/>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36F9"/>
    <w:rsid w:val="009F3FAA"/>
    <w:rsid w:val="009F5D4E"/>
    <w:rsid w:val="009F6FEA"/>
    <w:rsid w:val="00A009CF"/>
    <w:rsid w:val="00A0228E"/>
    <w:rsid w:val="00A03F44"/>
    <w:rsid w:val="00A140FF"/>
    <w:rsid w:val="00A173E2"/>
    <w:rsid w:val="00A22634"/>
    <w:rsid w:val="00A31100"/>
    <w:rsid w:val="00A35E21"/>
    <w:rsid w:val="00A37101"/>
    <w:rsid w:val="00A37621"/>
    <w:rsid w:val="00A4607B"/>
    <w:rsid w:val="00A51526"/>
    <w:rsid w:val="00A8120A"/>
    <w:rsid w:val="00A858CE"/>
    <w:rsid w:val="00A86CC6"/>
    <w:rsid w:val="00A9633F"/>
    <w:rsid w:val="00A97D2E"/>
    <w:rsid w:val="00AA246C"/>
    <w:rsid w:val="00AA3944"/>
    <w:rsid w:val="00AA7A72"/>
    <w:rsid w:val="00AB006F"/>
    <w:rsid w:val="00AB0621"/>
    <w:rsid w:val="00AB25B2"/>
    <w:rsid w:val="00AC2325"/>
    <w:rsid w:val="00AC5AB2"/>
    <w:rsid w:val="00AD7E6B"/>
    <w:rsid w:val="00AE0682"/>
    <w:rsid w:val="00AE3241"/>
    <w:rsid w:val="00B02C57"/>
    <w:rsid w:val="00B10FD3"/>
    <w:rsid w:val="00B122E9"/>
    <w:rsid w:val="00B12389"/>
    <w:rsid w:val="00B16C29"/>
    <w:rsid w:val="00B32FD8"/>
    <w:rsid w:val="00B4178D"/>
    <w:rsid w:val="00B42D63"/>
    <w:rsid w:val="00B43DD3"/>
    <w:rsid w:val="00B757E2"/>
    <w:rsid w:val="00B8067B"/>
    <w:rsid w:val="00B8505E"/>
    <w:rsid w:val="00B93D55"/>
    <w:rsid w:val="00B9731E"/>
    <w:rsid w:val="00BB2D2A"/>
    <w:rsid w:val="00BC0761"/>
    <w:rsid w:val="00BC6170"/>
    <w:rsid w:val="00BD2317"/>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AB"/>
    <w:rsid w:val="00CD33FE"/>
    <w:rsid w:val="00CD48D9"/>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752A5"/>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6F6F"/>
    <w:rsid w:val="00DF55B9"/>
    <w:rsid w:val="00E02103"/>
    <w:rsid w:val="00E103E5"/>
    <w:rsid w:val="00E10E6A"/>
    <w:rsid w:val="00E17428"/>
    <w:rsid w:val="00E27922"/>
    <w:rsid w:val="00E30ADD"/>
    <w:rsid w:val="00E34FBD"/>
    <w:rsid w:val="00E360EA"/>
    <w:rsid w:val="00E50360"/>
    <w:rsid w:val="00E601E4"/>
    <w:rsid w:val="00E67736"/>
    <w:rsid w:val="00E73AA7"/>
    <w:rsid w:val="00E7473E"/>
    <w:rsid w:val="00E77758"/>
    <w:rsid w:val="00E82FE8"/>
    <w:rsid w:val="00E84848"/>
    <w:rsid w:val="00E91847"/>
    <w:rsid w:val="00EA2661"/>
    <w:rsid w:val="00EA2B3A"/>
    <w:rsid w:val="00EA39B7"/>
    <w:rsid w:val="00EA5E50"/>
    <w:rsid w:val="00EB1F29"/>
    <w:rsid w:val="00EB6030"/>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34F71"/>
    <w:rsid w:val="00F454CC"/>
    <w:rsid w:val="00F46094"/>
    <w:rsid w:val="00F476E9"/>
    <w:rsid w:val="00F61F23"/>
    <w:rsid w:val="00F62865"/>
    <w:rsid w:val="00F6484F"/>
    <w:rsid w:val="00F73556"/>
    <w:rsid w:val="00F73D24"/>
    <w:rsid w:val="00F74316"/>
    <w:rsid w:val="00F774ED"/>
    <w:rsid w:val="00F8115C"/>
    <w:rsid w:val="00F81CC3"/>
    <w:rsid w:val="00F850E2"/>
    <w:rsid w:val="00F85DFA"/>
    <w:rsid w:val="00F901D3"/>
    <w:rsid w:val="00F95079"/>
    <w:rsid w:val="00F95BB9"/>
    <w:rsid w:val="00FA1432"/>
    <w:rsid w:val="00FA205D"/>
    <w:rsid w:val="00FA3CFC"/>
    <w:rsid w:val="00FA63E7"/>
    <w:rsid w:val="00FB0272"/>
    <w:rsid w:val="00FC1A3C"/>
    <w:rsid w:val="00FC36DD"/>
    <w:rsid w:val="00FC5FE4"/>
    <w:rsid w:val="00FC7A05"/>
    <w:rsid w:val="00FD70E2"/>
    <w:rsid w:val="00FE02B7"/>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2A82-8DFF-463A-ADE4-DDE8E4F7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2015-02-27T14:25:00Z</cp:lastPrinted>
  <dcterms:created xsi:type="dcterms:W3CDTF">2017-10-04T07:54:00Z</dcterms:created>
  <dcterms:modified xsi:type="dcterms:W3CDTF">2017-10-04T07:54:00Z</dcterms:modified>
</cp:coreProperties>
</file>