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D8A" w:rsidRPr="00D97F3C" w:rsidRDefault="007C2D8A" w:rsidP="007C2D8A">
      <w:pPr>
        <w:suppressAutoHyphens/>
        <w:spacing w:after="0" w:line="360" w:lineRule="auto"/>
        <w:jc w:val="center"/>
        <w:rPr>
          <w:rFonts w:eastAsia="Times New Roman" w:cs="Arial"/>
          <w:b/>
          <w:sz w:val="32"/>
          <w:szCs w:val="32"/>
          <w:lang w:val="en-GB" w:eastAsia="ar-SA"/>
        </w:rPr>
      </w:pPr>
      <w:r w:rsidRPr="00D97F3C">
        <w:rPr>
          <w:rFonts w:eastAsia="Times New Roman" w:cs="Arial"/>
          <w:b/>
          <w:sz w:val="32"/>
          <w:szCs w:val="32"/>
          <w:lang w:val="en-GB" w:eastAsia="ar-SA"/>
        </w:rPr>
        <w:t>NATIONAL ASSEMBLY</w:t>
      </w:r>
    </w:p>
    <w:p w:rsidR="007C2D8A" w:rsidRPr="00D97F3C" w:rsidRDefault="007C2D8A" w:rsidP="007C2D8A">
      <w:pPr>
        <w:suppressAutoHyphens/>
        <w:spacing w:after="0" w:line="360" w:lineRule="auto"/>
        <w:jc w:val="both"/>
        <w:rPr>
          <w:rFonts w:eastAsia="Times New Roman" w:cs="Arial"/>
          <w:b/>
          <w:sz w:val="32"/>
          <w:szCs w:val="32"/>
          <w:u w:val="single"/>
          <w:lang w:val="en-US" w:eastAsia="ar-SA"/>
        </w:rPr>
      </w:pPr>
      <w:r w:rsidRPr="00D97F3C">
        <w:rPr>
          <w:rFonts w:eastAsia="Times New Roman" w:cs="Arial"/>
          <w:b/>
          <w:sz w:val="32"/>
          <w:szCs w:val="32"/>
          <w:u w:val="single"/>
          <w:lang w:val="en-US" w:eastAsia="ar-SA"/>
        </w:rPr>
        <w:t xml:space="preserve">QUESTION NO. 2805– 2017 </w:t>
      </w:r>
    </w:p>
    <w:p w:rsidR="007C2D8A" w:rsidRPr="00D97F3C" w:rsidRDefault="007C2D8A" w:rsidP="007C2D8A">
      <w:pPr>
        <w:keepNext/>
        <w:numPr>
          <w:ilvl w:val="3"/>
          <w:numId w:val="0"/>
        </w:numPr>
        <w:tabs>
          <w:tab w:val="num" w:pos="864"/>
        </w:tabs>
        <w:suppressAutoHyphens/>
        <w:spacing w:after="0" w:line="360" w:lineRule="auto"/>
        <w:ind w:left="864" w:hanging="864"/>
        <w:jc w:val="both"/>
        <w:outlineLvl w:val="3"/>
        <w:rPr>
          <w:rFonts w:eastAsia="Times New Roman" w:cs="Arial"/>
          <w:b/>
          <w:sz w:val="32"/>
          <w:szCs w:val="32"/>
          <w:u w:val="single"/>
          <w:lang w:val="en-US" w:eastAsia="ar-SA"/>
        </w:rPr>
      </w:pPr>
      <w:r w:rsidRPr="00D97F3C">
        <w:rPr>
          <w:rFonts w:eastAsia="Times New Roman" w:cs="Arial"/>
          <w:b/>
          <w:sz w:val="32"/>
          <w:szCs w:val="32"/>
          <w:u w:val="single"/>
          <w:lang w:val="en-US" w:eastAsia="ar-SA"/>
        </w:rPr>
        <w:t>FOR WRITTEN REPLY</w:t>
      </w:r>
    </w:p>
    <w:p w:rsidR="007C2D8A" w:rsidRPr="00D97F3C" w:rsidRDefault="007C2D8A" w:rsidP="007C2D8A">
      <w:pPr>
        <w:suppressAutoHyphens/>
        <w:spacing w:after="0" w:line="360" w:lineRule="auto"/>
        <w:jc w:val="both"/>
        <w:rPr>
          <w:rFonts w:eastAsia="Times New Roman" w:cs="Arial"/>
          <w:b/>
          <w:sz w:val="32"/>
          <w:szCs w:val="32"/>
          <w:lang w:val="en-US" w:eastAsia="ar-SA"/>
        </w:rPr>
      </w:pPr>
      <w:r w:rsidRPr="00D97F3C">
        <w:rPr>
          <w:rFonts w:eastAsia="Times New Roman" w:cs="Arial"/>
          <w:b/>
          <w:sz w:val="32"/>
          <w:szCs w:val="32"/>
          <w:lang w:val="en-US" w:eastAsia="ar-SA"/>
        </w:rPr>
        <w:t>DATE OF PUBLICATION IN INTERNAL QUESTION PAPER:  15 September 2017:   (INTERNAL QUESTION PAPER NO. 33 - 2017)</w:t>
      </w:r>
    </w:p>
    <w:p w:rsidR="007C2D8A" w:rsidRPr="007C2D8A" w:rsidRDefault="007C2D8A" w:rsidP="007C2D8A">
      <w:pPr>
        <w:spacing w:before="100" w:beforeAutospacing="1" w:after="100" w:afterAutospacing="1" w:line="360" w:lineRule="auto"/>
        <w:jc w:val="both"/>
        <w:outlineLvl w:val="0"/>
        <w:rPr>
          <w:rFonts w:eastAsia="Times New Roman" w:cs="Arial"/>
          <w:b/>
          <w:color w:val="000000" w:themeColor="text1"/>
          <w:sz w:val="32"/>
          <w:szCs w:val="32"/>
          <w:lang w:val="en-US"/>
        </w:rPr>
      </w:pPr>
      <w:r w:rsidRPr="007C2D8A">
        <w:rPr>
          <w:rFonts w:eastAsia="Times New Roman" w:cs="Arial"/>
          <w:b/>
          <w:color w:val="000000" w:themeColor="text1"/>
          <w:sz w:val="32"/>
          <w:szCs w:val="32"/>
          <w:lang w:val="en-US"/>
        </w:rPr>
        <w:t>“</w:t>
      </w:r>
      <w:proofErr w:type="spellStart"/>
      <w:r w:rsidRPr="007C2D8A">
        <w:rPr>
          <w:rFonts w:eastAsia="Times New Roman" w:cs="Arial"/>
          <w:b/>
          <w:color w:val="000000" w:themeColor="text1"/>
          <w:sz w:val="32"/>
          <w:szCs w:val="32"/>
          <w:lang w:val="en-US"/>
        </w:rPr>
        <w:t>Dr</w:t>
      </w:r>
      <w:proofErr w:type="spellEnd"/>
      <w:r w:rsidRPr="007C2D8A">
        <w:rPr>
          <w:rFonts w:eastAsia="Times New Roman" w:cs="Arial"/>
          <w:b/>
          <w:color w:val="000000" w:themeColor="text1"/>
          <w:sz w:val="32"/>
          <w:szCs w:val="32"/>
          <w:lang w:val="en-US"/>
        </w:rPr>
        <w:t xml:space="preserve"> G </w:t>
      </w:r>
      <w:proofErr w:type="gramStart"/>
      <w:r w:rsidRPr="007C2D8A">
        <w:rPr>
          <w:rFonts w:eastAsia="Times New Roman" w:cs="Arial"/>
          <w:b/>
          <w:color w:val="000000" w:themeColor="text1"/>
          <w:sz w:val="32"/>
          <w:szCs w:val="32"/>
          <w:lang w:val="en-US"/>
        </w:rPr>
        <w:t>A</w:t>
      </w:r>
      <w:proofErr w:type="gramEnd"/>
      <w:r w:rsidRPr="007C2D8A">
        <w:rPr>
          <w:rFonts w:eastAsia="Times New Roman" w:cs="Arial"/>
          <w:b/>
          <w:color w:val="000000" w:themeColor="text1"/>
          <w:sz w:val="32"/>
          <w:szCs w:val="32"/>
          <w:lang w:val="en-US"/>
        </w:rPr>
        <w:t xml:space="preserve"> </w:t>
      </w:r>
      <w:proofErr w:type="spellStart"/>
      <w:r w:rsidRPr="007C2D8A">
        <w:rPr>
          <w:rFonts w:eastAsia="Times New Roman" w:cs="Arial"/>
          <w:b/>
          <w:color w:val="000000" w:themeColor="text1"/>
          <w:sz w:val="32"/>
          <w:szCs w:val="32"/>
          <w:lang w:val="en-US"/>
        </w:rPr>
        <w:t>Grootboom</w:t>
      </w:r>
      <w:proofErr w:type="spellEnd"/>
      <w:r w:rsidRPr="007C2D8A">
        <w:rPr>
          <w:rFonts w:eastAsia="Times New Roman" w:cs="Arial"/>
          <w:b/>
          <w:color w:val="000000" w:themeColor="text1"/>
          <w:sz w:val="32"/>
          <w:szCs w:val="32"/>
          <w:lang w:val="en-US"/>
        </w:rPr>
        <w:t xml:space="preserve"> (DA) to ask the Minister of Arts and Culture”</w:t>
      </w:r>
    </w:p>
    <w:p w:rsidR="007C2D8A" w:rsidRPr="007C2D8A" w:rsidRDefault="007C2D8A" w:rsidP="007C2D8A">
      <w:pPr>
        <w:spacing w:after="0"/>
        <w:jc w:val="both"/>
        <w:rPr>
          <w:rFonts w:eastAsia="Calibri" w:cs="Arial"/>
          <w:color w:val="000000" w:themeColor="text1"/>
          <w:sz w:val="32"/>
          <w:szCs w:val="32"/>
        </w:rPr>
      </w:pPr>
      <w:r w:rsidRPr="007C2D8A">
        <w:rPr>
          <w:rFonts w:eastAsia="Calibri" w:cs="Arial"/>
          <w:color w:val="000000" w:themeColor="text1"/>
          <w:sz w:val="32"/>
          <w:szCs w:val="32"/>
        </w:rPr>
        <w:t xml:space="preserve">1. </w:t>
      </w:r>
      <w:r w:rsidRPr="007C2D8A">
        <w:rPr>
          <w:rFonts w:eastAsia="Calibri" w:cs="Arial"/>
          <w:color w:val="000000" w:themeColor="text1"/>
          <w:sz w:val="32"/>
          <w:szCs w:val="32"/>
        </w:rPr>
        <w:tab/>
        <w:t xml:space="preserve">What is the total number of libraries in Mpumalanga that do not have qualified </w:t>
      </w:r>
      <w:proofErr w:type="gramStart"/>
      <w:r w:rsidRPr="007C2D8A">
        <w:rPr>
          <w:rFonts w:eastAsia="Calibri" w:cs="Arial"/>
          <w:color w:val="000000" w:themeColor="text1"/>
          <w:sz w:val="32"/>
          <w:szCs w:val="32"/>
        </w:rPr>
        <w:t>librarians;</w:t>
      </w:r>
      <w:bookmarkStart w:id="0" w:name="_GoBack"/>
      <w:bookmarkEnd w:id="0"/>
      <w:proofErr w:type="gramEnd"/>
    </w:p>
    <w:p w:rsidR="007C2D8A" w:rsidRPr="007C2D8A" w:rsidRDefault="007C2D8A" w:rsidP="007C2D8A">
      <w:pPr>
        <w:spacing w:after="0"/>
        <w:jc w:val="both"/>
        <w:rPr>
          <w:rFonts w:eastAsia="Calibri" w:cs="Arial"/>
          <w:color w:val="000000" w:themeColor="text1"/>
          <w:sz w:val="32"/>
          <w:szCs w:val="32"/>
        </w:rPr>
      </w:pPr>
      <w:r w:rsidRPr="007C2D8A">
        <w:rPr>
          <w:rFonts w:eastAsia="Calibri" w:cs="Arial"/>
          <w:color w:val="000000" w:themeColor="text1"/>
          <w:sz w:val="32"/>
          <w:szCs w:val="32"/>
        </w:rPr>
        <w:t xml:space="preserve">2. </w:t>
      </w:r>
      <w:r w:rsidRPr="007C2D8A">
        <w:rPr>
          <w:rFonts w:eastAsia="Calibri" w:cs="Arial"/>
          <w:color w:val="000000" w:themeColor="text1"/>
          <w:sz w:val="32"/>
          <w:szCs w:val="32"/>
        </w:rPr>
        <w:tab/>
        <w:t xml:space="preserve">whether his department advertised these positions; if not, why not; if so, (a) which positions were advertised, (b) in which publications were the vacancies </w:t>
      </w:r>
      <w:r w:rsidRPr="007C2D8A">
        <w:rPr>
          <w:rFonts w:eastAsia="Calibri" w:cs="Arial"/>
          <w:color w:val="000000" w:themeColor="text1"/>
          <w:sz w:val="32"/>
          <w:szCs w:val="32"/>
        </w:rPr>
        <w:tab/>
        <w:t xml:space="preserve">advertised, (c) on what dates were the vacancies advertised and (d) what </w:t>
      </w:r>
      <w:r w:rsidRPr="007C2D8A">
        <w:rPr>
          <w:rFonts w:eastAsia="Calibri" w:cs="Arial"/>
          <w:color w:val="000000" w:themeColor="text1"/>
          <w:sz w:val="32"/>
          <w:szCs w:val="32"/>
        </w:rPr>
        <w:tab/>
        <w:t>number of applications were received as a response to the specified advertisements? NW3112E</w:t>
      </w:r>
    </w:p>
    <w:p w:rsidR="007C2D8A" w:rsidRPr="007C2D8A" w:rsidRDefault="007C2D8A" w:rsidP="007C2D8A">
      <w:pPr>
        <w:spacing w:after="0" w:line="360" w:lineRule="auto"/>
        <w:jc w:val="both"/>
        <w:rPr>
          <w:rFonts w:eastAsia="Times New Roman" w:cs="Arial"/>
          <w:color w:val="000000" w:themeColor="text1"/>
          <w:sz w:val="32"/>
          <w:szCs w:val="32"/>
          <w:lang w:val="en-GB"/>
        </w:rPr>
      </w:pPr>
    </w:p>
    <w:p w:rsidR="007C2D8A" w:rsidRPr="007C2D8A" w:rsidRDefault="007C2D8A" w:rsidP="007C2D8A">
      <w:pPr>
        <w:spacing w:after="0" w:line="360" w:lineRule="auto"/>
        <w:jc w:val="both"/>
        <w:rPr>
          <w:rFonts w:eastAsia="Times New Roman" w:cs="Arial"/>
          <w:b/>
          <w:color w:val="000000" w:themeColor="text1"/>
          <w:sz w:val="32"/>
          <w:szCs w:val="32"/>
          <w:lang w:val="en-GB"/>
        </w:rPr>
      </w:pPr>
      <w:r w:rsidRPr="007C2D8A">
        <w:rPr>
          <w:rFonts w:eastAsia="Times New Roman" w:cs="Arial"/>
          <w:b/>
          <w:color w:val="000000" w:themeColor="text1"/>
          <w:sz w:val="32"/>
          <w:szCs w:val="32"/>
          <w:lang w:val="en-GB"/>
        </w:rPr>
        <w:t>REPLY</w:t>
      </w:r>
    </w:p>
    <w:p w:rsidR="007C2D8A" w:rsidRPr="007C2D8A" w:rsidRDefault="007C2D8A" w:rsidP="007C2D8A">
      <w:pPr>
        <w:spacing w:after="0"/>
        <w:jc w:val="both"/>
        <w:rPr>
          <w:color w:val="000000" w:themeColor="text1"/>
          <w:sz w:val="32"/>
          <w:szCs w:val="32"/>
          <w:lang w:val="en-GB"/>
        </w:rPr>
      </w:pPr>
      <w:r w:rsidRPr="007C2D8A">
        <w:rPr>
          <w:b/>
          <w:color w:val="000000" w:themeColor="text1"/>
          <w:sz w:val="32"/>
          <w:szCs w:val="32"/>
          <w:lang w:val="en-GB"/>
        </w:rPr>
        <w:t>As I have indicated in my response to question No: 1077 of 15 May 2017, that</w:t>
      </w:r>
      <w:r w:rsidRPr="007C2D8A">
        <w:rPr>
          <w:color w:val="000000" w:themeColor="text1"/>
          <w:sz w:val="32"/>
          <w:szCs w:val="32"/>
          <w:lang w:val="en-GB"/>
        </w:rPr>
        <w:t xml:space="preserve">: </w:t>
      </w:r>
    </w:p>
    <w:p w:rsidR="007C2D8A" w:rsidRPr="007C2D8A" w:rsidRDefault="007C2D8A" w:rsidP="007C2D8A">
      <w:pPr>
        <w:pStyle w:val="DACBODYTEXT"/>
        <w:rPr>
          <w:color w:val="000000" w:themeColor="text1"/>
          <w:lang w:val="en-GB"/>
        </w:rPr>
      </w:pPr>
    </w:p>
    <w:p w:rsidR="007C2D8A" w:rsidRPr="007C2D8A" w:rsidRDefault="007C2D8A" w:rsidP="007C2D8A">
      <w:pPr>
        <w:spacing w:after="0"/>
        <w:jc w:val="both"/>
        <w:rPr>
          <w:rFonts w:eastAsia="Calibri" w:cs="Arial"/>
          <w:b/>
          <w:color w:val="000000" w:themeColor="text1"/>
          <w:sz w:val="32"/>
          <w:szCs w:val="32"/>
        </w:rPr>
      </w:pPr>
      <w:r w:rsidRPr="007C2D8A">
        <w:rPr>
          <w:color w:val="000000" w:themeColor="text1"/>
          <w:sz w:val="32"/>
          <w:szCs w:val="32"/>
          <w:lang w:val="en-GB"/>
        </w:rPr>
        <w:t>“</w:t>
      </w:r>
      <w:r w:rsidRPr="007C2D8A">
        <w:rPr>
          <w:rFonts w:eastAsia="Calibri" w:cs="Arial"/>
          <w:b/>
          <w:color w:val="000000" w:themeColor="text1"/>
          <w:sz w:val="32"/>
          <w:szCs w:val="32"/>
        </w:rPr>
        <w:t xml:space="preserve">Schedule 5A of the Constitution of the Republic of South Africa, Act No 108 of 1996, which stipulates that libraries, other than national libraries, are an exclusive provincial legislative competence”. The status quo is still the same. </w:t>
      </w:r>
    </w:p>
    <w:p w:rsidR="007C2D8A" w:rsidRDefault="007C2D8A" w:rsidP="007C2D8A">
      <w:pPr>
        <w:pStyle w:val="DACBODYTEXT"/>
      </w:pPr>
    </w:p>
    <w:p w:rsidR="007C2D8A" w:rsidRPr="009367BA" w:rsidRDefault="007C2D8A" w:rsidP="007C2D8A">
      <w:pPr>
        <w:pStyle w:val="DACBODYTEXT"/>
      </w:pPr>
    </w:p>
    <w:p w:rsidR="007C2D8A" w:rsidRDefault="007C2D8A" w:rsidP="007C2D8A">
      <w:pPr>
        <w:pStyle w:val="DACBODYTEXT"/>
      </w:pPr>
    </w:p>
    <w:p w:rsidR="00844E13" w:rsidRDefault="00844E13"/>
    <w:sectPr w:rsidR="00844E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D8A"/>
    <w:rsid w:val="007C2D8A"/>
    <w:rsid w:val="00844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86C6D4-C804-416D-9B4C-97CF7F37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ACBODYTEXT"/>
    <w:qFormat/>
    <w:rsid w:val="007C2D8A"/>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7C2D8A"/>
    <w:pPr>
      <w:ind w:left="993"/>
    </w:pPr>
    <w:rPr>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Simion Nkanunu</dc:creator>
  <cp:keywords/>
  <dc:description/>
  <cp:lastModifiedBy>Simion Nkanunu</cp:lastModifiedBy>
  <cp:revision>1</cp:revision>
  <dcterms:created xsi:type="dcterms:W3CDTF">2017-10-07T19:55:00Z</dcterms:created>
  <dcterms:modified xsi:type="dcterms:W3CDTF">2017-10-07T19:56:00Z</dcterms:modified>
</cp:coreProperties>
</file>