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5507BB">
        <w:rPr>
          <w:u w:val="none"/>
        </w:rPr>
        <w:t>2804</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5507BB">
        <w:rPr>
          <w:rFonts w:ascii="Arial" w:hAnsi="Arial" w:cs="Arial"/>
          <w:b/>
          <w:bCs/>
        </w:rPr>
        <w:t xml:space="preserve"> 20 NOVEMBER</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5507BB">
        <w:rPr>
          <w:u w:val="none"/>
        </w:rPr>
        <w:t>49</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Default="005507BB" w:rsidP="000D15C0">
      <w:pPr>
        <w:spacing w:line="360" w:lineRule="auto"/>
        <w:jc w:val="both"/>
        <w:outlineLvl w:val="0"/>
        <w:rPr>
          <w:rFonts w:ascii="Arial" w:hAnsi="Arial" w:cs="Arial"/>
          <w:lang w:val="en-US"/>
        </w:rPr>
      </w:pPr>
      <w:r>
        <w:rPr>
          <w:rFonts w:ascii="Arial" w:hAnsi="Arial" w:cs="Arial"/>
          <w:b/>
          <w:bCs/>
        </w:rPr>
        <w:t>Mr L Mphithi (DA)</w:t>
      </w:r>
      <w:r w:rsidR="00033CF6">
        <w:rPr>
          <w:rFonts w:ascii="Arial" w:hAnsi="Arial" w:cs="Arial"/>
          <w:b/>
          <w:bCs/>
        </w:rPr>
        <w:t xml:space="preserve">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5507BB" w:rsidRDefault="005507BB" w:rsidP="005507BB">
      <w:pPr>
        <w:spacing w:line="276" w:lineRule="auto"/>
        <w:ind w:left="709" w:hanging="709"/>
        <w:jc w:val="both"/>
        <w:rPr>
          <w:rFonts w:ascii="Arial" w:hAnsi="Arial" w:cs="Arial"/>
        </w:rPr>
      </w:pPr>
      <w:r>
        <w:rPr>
          <w:rFonts w:ascii="Arial" w:hAnsi="Arial" w:cs="Arial"/>
        </w:rPr>
        <w:t xml:space="preserve">(1)       With reference to the National Youth Policy 2030, what proportion of the consultation included youth who are not affiliated to organisations? </w:t>
      </w:r>
    </w:p>
    <w:p w:rsidR="005507BB" w:rsidRDefault="005507BB" w:rsidP="005507BB">
      <w:pPr>
        <w:tabs>
          <w:tab w:val="left" w:pos="567"/>
        </w:tabs>
        <w:spacing w:line="276" w:lineRule="auto"/>
        <w:ind w:left="709" w:hanging="709"/>
        <w:jc w:val="both"/>
        <w:rPr>
          <w:rFonts w:ascii="Arial" w:hAnsi="Arial" w:cs="Arial"/>
        </w:rPr>
      </w:pPr>
      <w:r>
        <w:rPr>
          <w:rFonts w:ascii="Arial" w:hAnsi="Arial" w:cs="Arial"/>
        </w:rPr>
        <w:t>(2)       Whether she will furnish Mr L Mphithi with a summary table of all comments received during the 10-month consultation period; if not, why not? if so, what are the relevant details?    </w:t>
      </w:r>
      <w:r>
        <w:rPr>
          <w:rFonts w:ascii="Arial" w:hAnsi="Arial" w:cs="Arial"/>
        </w:rPr>
        <w:tab/>
      </w:r>
      <w:r>
        <w:rPr>
          <w:rFonts w:ascii="Arial" w:hAnsi="Arial" w:cs="Arial"/>
        </w:rPr>
        <w:tab/>
      </w:r>
      <w:r>
        <w:rPr>
          <w:rFonts w:ascii="Arial" w:hAnsi="Arial" w:cs="Arial"/>
        </w:rPr>
        <w:tab/>
        <w:t>NW3628E</w:t>
      </w:r>
    </w:p>
    <w:p w:rsidR="00033CF6" w:rsidRDefault="00033CF6" w:rsidP="000D15C0">
      <w:pPr>
        <w:spacing w:line="360" w:lineRule="auto"/>
        <w:jc w:val="both"/>
        <w:rPr>
          <w:rFonts w:ascii="Arial" w:hAnsi="Arial" w:cs="Arial"/>
          <w:b/>
          <w:sz w:val="32"/>
          <w:szCs w:val="32"/>
        </w:rPr>
      </w:pPr>
    </w:p>
    <w:p w:rsidR="00033CF6" w:rsidRDefault="000D15C0" w:rsidP="00033CF6">
      <w:pPr>
        <w:spacing w:line="360" w:lineRule="auto"/>
        <w:jc w:val="both"/>
        <w:rPr>
          <w:rFonts w:ascii="Arial" w:hAnsi="Arial" w:cs="Arial"/>
          <w:b/>
          <w:sz w:val="32"/>
          <w:szCs w:val="32"/>
        </w:rPr>
      </w:pPr>
      <w:r w:rsidRPr="007608A0">
        <w:rPr>
          <w:rFonts w:ascii="Arial" w:hAnsi="Arial" w:cs="Arial"/>
          <w:b/>
          <w:sz w:val="32"/>
          <w:szCs w:val="32"/>
        </w:rPr>
        <w:t>REPLY</w:t>
      </w:r>
    </w:p>
    <w:p w:rsidR="005507BB" w:rsidRPr="00947674" w:rsidRDefault="005507BB" w:rsidP="00947674">
      <w:pPr>
        <w:jc w:val="both"/>
        <w:rPr>
          <w:rFonts w:ascii="Arial" w:hAnsi="Arial" w:cs="Arial"/>
          <w:sz w:val="22"/>
          <w:szCs w:val="22"/>
          <w:lang w:val="en-ZA"/>
        </w:rPr>
      </w:pPr>
    </w:p>
    <w:p w:rsidR="005507BB" w:rsidRPr="00574913" w:rsidRDefault="005507BB" w:rsidP="00574913">
      <w:pPr>
        <w:ind w:left="426" w:hanging="426"/>
        <w:jc w:val="both"/>
        <w:rPr>
          <w:rFonts w:ascii="Arial" w:eastAsia="Calibri" w:hAnsi="Arial" w:cs="Arial"/>
          <w:szCs w:val="22"/>
          <w:lang w:val="en-US"/>
        </w:rPr>
      </w:pPr>
      <w:r>
        <w:rPr>
          <w:rFonts w:ascii="Arial" w:eastAsia="Calibri" w:hAnsi="Arial" w:cs="Arial"/>
          <w:lang w:val="en-US"/>
        </w:rPr>
        <w:t xml:space="preserve">(1) </w:t>
      </w:r>
      <w:r>
        <w:rPr>
          <w:rFonts w:ascii="Arial" w:eastAsia="Calibri" w:hAnsi="Arial" w:cs="Arial"/>
          <w:lang w:val="en-US"/>
        </w:rPr>
        <w:tab/>
        <w:t xml:space="preserve">The majority of the consultations included youth who are </w:t>
      </w:r>
      <w:r w:rsidRPr="005507BB">
        <w:rPr>
          <w:rFonts w:ascii="Arial" w:eastAsia="Calibri" w:hAnsi="Arial" w:cs="Arial"/>
          <w:lang w:val="en-US"/>
        </w:rPr>
        <w:t xml:space="preserve">not </w:t>
      </w:r>
      <w:r>
        <w:rPr>
          <w:rFonts w:ascii="Arial" w:eastAsia="Calibri" w:hAnsi="Arial" w:cs="Arial"/>
          <w:lang w:val="en-US"/>
        </w:rPr>
        <w:t xml:space="preserve">affiliated to any organisation, with the exception of one webinar which only targeted youth from political and student formations. In many consultation sessions, including the provincial ones and received written responses, the majority of young people participated in their personal capacities. These included youth from various parts of the country who saw it as a moral responsibility to participate in shaping this important advocacy tool. </w:t>
      </w:r>
    </w:p>
    <w:p w:rsidR="005507BB" w:rsidRDefault="005507BB" w:rsidP="005507BB">
      <w:pPr>
        <w:ind w:left="426" w:hanging="426"/>
        <w:jc w:val="both"/>
        <w:rPr>
          <w:rFonts w:ascii="Arial" w:eastAsia="Calibri" w:hAnsi="Arial" w:cs="Arial"/>
          <w:lang w:val="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226"/>
        <w:gridCol w:w="1833"/>
        <w:gridCol w:w="1765"/>
      </w:tblGrid>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BDD6EE"/>
            <w:hideMark/>
          </w:tcPr>
          <w:p w:rsidR="005507BB" w:rsidRPr="00B01FC0" w:rsidRDefault="005507BB" w:rsidP="00B01FC0">
            <w:pPr>
              <w:spacing w:line="360" w:lineRule="auto"/>
              <w:jc w:val="both"/>
              <w:rPr>
                <w:rFonts w:ascii="Arial" w:eastAsia="Calibri" w:hAnsi="Arial" w:cs="Arial"/>
                <w:b/>
                <w:sz w:val="22"/>
                <w:lang w:val="en-US"/>
              </w:rPr>
            </w:pPr>
            <w:r w:rsidRPr="00B01FC0">
              <w:rPr>
                <w:rFonts w:ascii="Arial" w:eastAsia="Calibri" w:hAnsi="Arial" w:cs="Arial"/>
                <w:b/>
                <w:sz w:val="22"/>
                <w:lang w:val="en-US"/>
              </w:rPr>
              <w:t>Venue/ Type</w:t>
            </w:r>
          </w:p>
        </w:tc>
        <w:tc>
          <w:tcPr>
            <w:tcW w:w="2517" w:type="dxa"/>
            <w:tcBorders>
              <w:top w:val="single" w:sz="4" w:space="0" w:color="auto"/>
              <w:left w:val="single" w:sz="4" w:space="0" w:color="auto"/>
              <w:bottom w:val="single" w:sz="4" w:space="0" w:color="auto"/>
              <w:right w:val="single" w:sz="4" w:space="0" w:color="auto"/>
            </w:tcBorders>
            <w:shd w:val="clear" w:color="auto" w:fill="BDD6EE"/>
            <w:hideMark/>
          </w:tcPr>
          <w:p w:rsidR="005507BB" w:rsidRPr="00B01FC0" w:rsidRDefault="005507BB" w:rsidP="00B01FC0">
            <w:pPr>
              <w:spacing w:line="360" w:lineRule="auto"/>
              <w:jc w:val="both"/>
              <w:rPr>
                <w:rFonts w:ascii="Arial" w:eastAsia="Calibri" w:hAnsi="Arial" w:cs="Arial"/>
                <w:b/>
                <w:sz w:val="22"/>
                <w:lang w:val="en-US"/>
              </w:rPr>
            </w:pPr>
            <w:r w:rsidRPr="00B01FC0">
              <w:rPr>
                <w:rFonts w:ascii="Arial" w:eastAsia="Calibri" w:hAnsi="Arial" w:cs="Arial"/>
                <w:b/>
                <w:sz w:val="22"/>
                <w:lang w:val="en-US"/>
              </w:rPr>
              <w:t>Dates</w:t>
            </w:r>
          </w:p>
        </w:tc>
        <w:tc>
          <w:tcPr>
            <w:tcW w:w="1949" w:type="dxa"/>
            <w:tcBorders>
              <w:top w:val="single" w:sz="4" w:space="0" w:color="auto"/>
              <w:left w:val="single" w:sz="4" w:space="0" w:color="auto"/>
              <w:bottom w:val="single" w:sz="4" w:space="0" w:color="auto"/>
              <w:right w:val="single" w:sz="4" w:space="0" w:color="auto"/>
            </w:tcBorders>
            <w:shd w:val="clear" w:color="auto" w:fill="BDD6EE"/>
            <w:hideMark/>
          </w:tcPr>
          <w:p w:rsidR="005507BB" w:rsidRPr="00B01FC0" w:rsidRDefault="005507BB" w:rsidP="00B01FC0">
            <w:pPr>
              <w:spacing w:line="360" w:lineRule="auto"/>
              <w:jc w:val="both"/>
              <w:rPr>
                <w:rFonts w:ascii="Arial" w:eastAsia="Calibri" w:hAnsi="Arial" w:cs="Arial"/>
                <w:b/>
                <w:sz w:val="22"/>
                <w:lang w:val="en-US"/>
              </w:rPr>
            </w:pPr>
            <w:r w:rsidRPr="00B01FC0">
              <w:rPr>
                <w:rFonts w:ascii="Arial" w:eastAsia="Calibri" w:hAnsi="Arial" w:cs="Arial"/>
                <w:b/>
                <w:sz w:val="22"/>
                <w:lang w:val="en-US"/>
              </w:rPr>
              <w:t>No. of participants</w:t>
            </w:r>
          </w:p>
        </w:tc>
        <w:tc>
          <w:tcPr>
            <w:tcW w:w="1992" w:type="dxa"/>
            <w:tcBorders>
              <w:top w:val="single" w:sz="4" w:space="0" w:color="auto"/>
              <w:left w:val="single" w:sz="4" w:space="0" w:color="auto"/>
              <w:bottom w:val="single" w:sz="4" w:space="0" w:color="auto"/>
              <w:right w:val="single" w:sz="4" w:space="0" w:color="auto"/>
            </w:tcBorders>
            <w:shd w:val="clear" w:color="auto" w:fill="BDD6EE"/>
            <w:hideMark/>
          </w:tcPr>
          <w:p w:rsidR="005507BB" w:rsidRPr="00B01FC0" w:rsidRDefault="005507BB" w:rsidP="00B01FC0">
            <w:pPr>
              <w:spacing w:line="360" w:lineRule="auto"/>
              <w:jc w:val="both"/>
              <w:rPr>
                <w:rFonts w:ascii="Arial" w:eastAsia="Calibri" w:hAnsi="Arial" w:cs="Arial"/>
                <w:b/>
                <w:sz w:val="22"/>
                <w:lang w:val="en-US"/>
              </w:rPr>
            </w:pPr>
            <w:r w:rsidRPr="00B01FC0">
              <w:rPr>
                <w:rFonts w:ascii="Arial" w:eastAsia="Calibri" w:hAnsi="Arial" w:cs="Arial"/>
                <w:b/>
                <w:sz w:val="22"/>
                <w:lang w:val="en-US"/>
              </w:rPr>
              <w:t>Target</w:t>
            </w:r>
          </w:p>
        </w:tc>
      </w:tr>
      <w:tr w:rsidR="005507BB" w:rsidRPr="00B01FC0" w:rsidTr="00B01FC0">
        <w:tc>
          <w:tcPr>
            <w:tcW w:w="9044" w:type="dxa"/>
            <w:gridSpan w:val="4"/>
            <w:tcBorders>
              <w:top w:val="single" w:sz="4" w:space="0" w:color="auto"/>
              <w:left w:val="single" w:sz="4" w:space="0" w:color="auto"/>
              <w:bottom w:val="single" w:sz="4" w:space="0" w:color="auto"/>
              <w:right w:val="single" w:sz="4" w:space="0" w:color="auto"/>
            </w:tcBorders>
            <w:shd w:val="clear" w:color="auto" w:fill="DEEAF6"/>
            <w:hideMark/>
          </w:tcPr>
          <w:p w:rsidR="005507BB" w:rsidRPr="00B01FC0" w:rsidRDefault="005507BB" w:rsidP="00B01FC0">
            <w:pPr>
              <w:spacing w:line="360" w:lineRule="auto"/>
              <w:jc w:val="center"/>
              <w:rPr>
                <w:rFonts w:ascii="Arial" w:eastAsia="Calibri" w:hAnsi="Arial" w:cs="Arial"/>
                <w:b/>
                <w:sz w:val="22"/>
                <w:lang w:val="en-US"/>
              </w:rPr>
            </w:pPr>
            <w:r w:rsidRPr="00B01FC0">
              <w:rPr>
                <w:rFonts w:ascii="Arial" w:eastAsia="Calibri" w:hAnsi="Arial" w:cs="Arial"/>
                <w:b/>
                <w:sz w:val="22"/>
                <w:lang w:val="en-US"/>
              </w:rPr>
              <w:t>Physical Contact Sessions</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Free State</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06 November 2019</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103</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Non-affiliated youth</w:t>
            </w:r>
          </w:p>
        </w:tc>
      </w:tr>
      <w:tr w:rsidR="005507BB" w:rsidRPr="00B01FC0" w:rsidTr="00B01FC0">
        <w:trPr>
          <w:trHeight w:val="548"/>
        </w:trPr>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KwaZulu- Natal</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12 November 2019</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70</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pPr>
              <w:rPr>
                <w:rFonts w:ascii="Calibri" w:eastAsia="Calibri" w:hAnsi="Calibri"/>
                <w:sz w:val="22"/>
                <w:szCs w:val="22"/>
                <w:lang w:val="en-US"/>
              </w:rPr>
            </w:pPr>
            <w:r w:rsidRPr="00B01FC0">
              <w:rPr>
                <w:rFonts w:ascii="Arial" w:eastAsia="Calibri" w:hAnsi="Arial" w:cs="Arial"/>
                <w:sz w:val="22"/>
                <w:lang w:val="en-US"/>
              </w:rPr>
              <w:t>Non-affiliated youth</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Mpumalanga</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15 November 2019</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106</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pPr>
              <w:rPr>
                <w:rFonts w:ascii="Calibri" w:eastAsia="Calibri" w:hAnsi="Calibri"/>
                <w:sz w:val="22"/>
                <w:szCs w:val="22"/>
                <w:lang w:val="en-US"/>
              </w:rPr>
            </w:pPr>
            <w:r w:rsidRPr="00B01FC0">
              <w:rPr>
                <w:rFonts w:ascii="Arial" w:eastAsia="Calibri" w:hAnsi="Arial" w:cs="Arial"/>
                <w:sz w:val="22"/>
                <w:lang w:val="en-US"/>
              </w:rPr>
              <w:t>Non-affiliated youth</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Western Cape</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20 November 2019</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74</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pPr>
              <w:rPr>
                <w:rFonts w:ascii="Calibri" w:eastAsia="Calibri" w:hAnsi="Calibri"/>
                <w:sz w:val="22"/>
                <w:szCs w:val="22"/>
                <w:lang w:val="en-US"/>
              </w:rPr>
            </w:pPr>
            <w:r w:rsidRPr="00B01FC0">
              <w:rPr>
                <w:rFonts w:ascii="Arial" w:eastAsia="Calibri" w:hAnsi="Arial" w:cs="Arial"/>
                <w:sz w:val="22"/>
                <w:lang w:val="en-US"/>
              </w:rPr>
              <w:t>Non-affiliated youth</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Eastern Cape</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23 November 2019</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62</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pPr>
              <w:rPr>
                <w:rFonts w:ascii="Calibri" w:eastAsia="Calibri" w:hAnsi="Calibri"/>
                <w:sz w:val="22"/>
                <w:szCs w:val="22"/>
                <w:lang w:val="en-US"/>
              </w:rPr>
            </w:pPr>
            <w:r w:rsidRPr="00B01FC0">
              <w:rPr>
                <w:rFonts w:ascii="Arial" w:eastAsia="Calibri" w:hAnsi="Arial" w:cs="Arial"/>
                <w:sz w:val="22"/>
                <w:lang w:val="en-US"/>
              </w:rPr>
              <w:t>Non-affiliated youth</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 xml:space="preserve">Northern Cape </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05 December 2019</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50</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pPr>
              <w:rPr>
                <w:rFonts w:ascii="Calibri" w:eastAsia="Calibri" w:hAnsi="Calibri"/>
                <w:sz w:val="22"/>
                <w:szCs w:val="22"/>
                <w:lang w:val="en-US"/>
              </w:rPr>
            </w:pPr>
            <w:r w:rsidRPr="00B01FC0">
              <w:rPr>
                <w:rFonts w:ascii="Arial" w:eastAsia="Calibri" w:hAnsi="Arial" w:cs="Arial"/>
                <w:sz w:val="22"/>
                <w:lang w:val="en-US"/>
              </w:rPr>
              <w:t>Non-affiliated youth</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Limpopo</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10 December 2019</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91</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pPr>
              <w:rPr>
                <w:rFonts w:ascii="Calibri" w:eastAsia="Calibri" w:hAnsi="Calibri"/>
                <w:sz w:val="22"/>
                <w:szCs w:val="22"/>
                <w:lang w:val="en-US"/>
              </w:rPr>
            </w:pPr>
            <w:r w:rsidRPr="00B01FC0">
              <w:rPr>
                <w:rFonts w:ascii="Arial" w:eastAsia="Calibri" w:hAnsi="Arial" w:cs="Arial"/>
                <w:sz w:val="22"/>
                <w:lang w:val="en-US"/>
              </w:rPr>
              <w:t>Non-affiliated youth</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lastRenderedPageBreak/>
              <w:t>Gauteng</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12 December 2019</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62</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pPr>
              <w:rPr>
                <w:rFonts w:ascii="Calibri" w:eastAsia="Calibri" w:hAnsi="Calibri"/>
                <w:sz w:val="22"/>
                <w:szCs w:val="22"/>
                <w:lang w:val="en-US"/>
              </w:rPr>
            </w:pPr>
            <w:r w:rsidRPr="00B01FC0">
              <w:rPr>
                <w:rFonts w:ascii="Arial" w:eastAsia="Calibri" w:hAnsi="Arial" w:cs="Arial"/>
                <w:sz w:val="22"/>
                <w:lang w:val="en-US"/>
              </w:rPr>
              <w:t>Non-affiliated youth</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 xml:space="preserve">Local Government stakeholders </w:t>
            </w:r>
          </w:p>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(Thaba Nchu)</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21-22 January 2020</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60</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pPr>
              <w:rPr>
                <w:rFonts w:ascii="Calibri" w:eastAsia="Calibri" w:hAnsi="Calibri"/>
                <w:sz w:val="22"/>
                <w:szCs w:val="22"/>
                <w:lang w:val="en-US"/>
              </w:rPr>
            </w:pPr>
            <w:r w:rsidRPr="00B01FC0">
              <w:rPr>
                <w:rFonts w:ascii="Arial" w:eastAsia="Calibri" w:hAnsi="Arial" w:cs="Arial"/>
                <w:sz w:val="22"/>
                <w:lang w:val="en-US"/>
              </w:rPr>
              <w:t>Both affiliated and non-affiliated youth</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North West</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07 February 2020</w:t>
            </w:r>
          </w:p>
        </w:tc>
        <w:tc>
          <w:tcPr>
            <w:tcW w:w="1949"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55</w:t>
            </w:r>
          </w:p>
        </w:tc>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pPr>
              <w:rPr>
                <w:rFonts w:ascii="Calibri" w:eastAsia="Calibri" w:hAnsi="Calibri"/>
                <w:sz w:val="22"/>
                <w:szCs w:val="22"/>
                <w:lang w:val="en-US"/>
              </w:rPr>
            </w:pPr>
            <w:r w:rsidRPr="00B01FC0">
              <w:rPr>
                <w:rFonts w:ascii="Arial" w:eastAsia="Calibri" w:hAnsi="Arial" w:cs="Arial"/>
                <w:sz w:val="22"/>
                <w:lang w:val="en-US"/>
              </w:rPr>
              <w:t>Non-affiliated youth</w:t>
            </w:r>
          </w:p>
        </w:tc>
      </w:tr>
      <w:tr w:rsidR="005507BB" w:rsidRPr="00B01FC0" w:rsidTr="00B01FC0">
        <w:tc>
          <w:tcPr>
            <w:tcW w:w="9044" w:type="dxa"/>
            <w:gridSpan w:val="4"/>
            <w:tcBorders>
              <w:top w:val="single" w:sz="4" w:space="0" w:color="auto"/>
              <w:left w:val="single" w:sz="4" w:space="0" w:color="auto"/>
              <w:bottom w:val="single" w:sz="4" w:space="0" w:color="auto"/>
              <w:right w:val="single" w:sz="4" w:space="0" w:color="auto"/>
            </w:tcBorders>
            <w:shd w:val="clear" w:color="auto" w:fill="DEEAF6"/>
            <w:hideMark/>
          </w:tcPr>
          <w:p w:rsidR="005507BB" w:rsidRPr="00B01FC0" w:rsidRDefault="005507BB" w:rsidP="00B01FC0">
            <w:pPr>
              <w:spacing w:line="360" w:lineRule="auto"/>
              <w:jc w:val="center"/>
              <w:rPr>
                <w:rFonts w:ascii="Arial" w:eastAsia="Calibri" w:hAnsi="Arial" w:cs="Arial"/>
                <w:b/>
                <w:sz w:val="22"/>
                <w:lang w:val="en-US"/>
              </w:rPr>
            </w:pPr>
            <w:r w:rsidRPr="00B01FC0">
              <w:rPr>
                <w:rFonts w:ascii="Arial" w:eastAsia="Calibri" w:hAnsi="Arial" w:cs="Arial"/>
                <w:b/>
                <w:sz w:val="22"/>
                <w:lang w:val="en-US"/>
              </w:rPr>
              <w:t>Other Consultations</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b/>
                <w:sz w:val="22"/>
                <w:lang w:val="en-US"/>
              </w:rPr>
            </w:pPr>
            <w:r w:rsidRPr="00B01FC0">
              <w:rPr>
                <w:rFonts w:ascii="Arial" w:eastAsia="Calibri" w:hAnsi="Arial" w:cs="Arial"/>
                <w:b/>
                <w:sz w:val="22"/>
                <w:lang w:val="en-US"/>
              </w:rPr>
              <w:t>Venue/ Type</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b/>
                <w:sz w:val="22"/>
                <w:lang w:val="en-US"/>
              </w:rPr>
            </w:pPr>
            <w:r w:rsidRPr="00B01FC0">
              <w:rPr>
                <w:rFonts w:ascii="Arial" w:eastAsia="Calibri" w:hAnsi="Arial" w:cs="Arial"/>
                <w:b/>
                <w:sz w:val="22"/>
                <w:lang w:val="en-US"/>
              </w:rPr>
              <w:t>Dates</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b/>
                <w:sz w:val="22"/>
                <w:lang w:val="en-US"/>
              </w:rPr>
            </w:pPr>
            <w:r w:rsidRPr="00B01FC0">
              <w:rPr>
                <w:rFonts w:ascii="Arial" w:eastAsia="Calibri" w:hAnsi="Arial" w:cs="Arial"/>
                <w:b/>
                <w:sz w:val="22"/>
                <w:lang w:val="en-US"/>
              </w:rPr>
              <w:t xml:space="preserve">Written comments received </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Gazette</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07 February – 16 March 2020</w:t>
            </w:r>
          </w:p>
        </w:tc>
        <w:tc>
          <w:tcPr>
            <w:tcW w:w="39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17 written submissions from individuals; and</w:t>
            </w:r>
          </w:p>
          <w:p w:rsidR="005507BB" w:rsidRPr="00B01FC0" w:rsidRDefault="005507BB" w:rsidP="00B01FC0">
            <w:pPr>
              <w:spacing w:line="360" w:lineRule="auto"/>
              <w:jc w:val="both"/>
              <w:rPr>
                <w:rFonts w:ascii="Arial" w:eastAsia="Calibri" w:hAnsi="Arial" w:cs="Arial"/>
                <w:b/>
                <w:sz w:val="22"/>
                <w:lang w:val="en-US"/>
              </w:rPr>
            </w:pPr>
            <w:r w:rsidRPr="00B01FC0">
              <w:rPr>
                <w:rFonts w:ascii="Arial" w:eastAsia="Calibri" w:hAnsi="Arial" w:cs="Arial"/>
                <w:sz w:val="22"/>
                <w:lang w:val="en-US"/>
              </w:rPr>
              <w:t>59 written submissions from organisations</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Extension and newspaper advertisements</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16 March – 28 April 2020</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07BB" w:rsidRPr="00B01FC0" w:rsidRDefault="005507BB">
            <w:pPr>
              <w:rPr>
                <w:rFonts w:ascii="Arial" w:eastAsia="Calibri" w:hAnsi="Arial" w:cs="Arial"/>
                <w:b/>
                <w:sz w:val="22"/>
                <w:lang w:val="en-US"/>
              </w:rPr>
            </w:pP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Webinar on youth policy in the age of COVID-19</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29 June 2020</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Non-affiliated youth and the public at large</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Extension for written inputs</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01 August – 31 August 2020</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Non-affiliated youth and the public at large</w:t>
            </w:r>
          </w:p>
        </w:tc>
      </w:tr>
      <w:tr w:rsidR="005507BB" w:rsidRPr="00B01FC0" w:rsidTr="00B01FC0">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Special webinar</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18 September 2020</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hideMark/>
          </w:tcPr>
          <w:p w:rsidR="005507BB" w:rsidRPr="00B01FC0" w:rsidRDefault="005507BB" w:rsidP="00B01FC0">
            <w:pPr>
              <w:spacing w:line="360" w:lineRule="auto"/>
              <w:jc w:val="both"/>
              <w:rPr>
                <w:rFonts w:ascii="Arial" w:eastAsia="Calibri" w:hAnsi="Arial" w:cs="Arial"/>
                <w:sz w:val="22"/>
                <w:lang w:val="en-US"/>
              </w:rPr>
            </w:pPr>
            <w:r w:rsidRPr="00B01FC0">
              <w:rPr>
                <w:rFonts w:ascii="Arial" w:eastAsia="Calibri" w:hAnsi="Arial" w:cs="Arial"/>
                <w:sz w:val="22"/>
                <w:lang w:val="en-US"/>
              </w:rPr>
              <w:t>Affiliated youth from political and student formations. The Portfolio Committee was invited.</w:t>
            </w:r>
          </w:p>
        </w:tc>
      </w:tr>
    </w:tbl>
    <w:p w:rsidR="005507BB" w:rsidRDefault="005507BB" w:rsidP="00033CF6">
      <w:pPr>
        <w:spacing w:line="360" w:lineRule="auto"/>
        <w:jc w:val="both"/>
        <w:rPr>
          <w:rFonts w:ascii="Arial" w:hAnsi="Arial" w:cs="Arial"/>
          <w:b/>
          <w:sz w:val="32"/>
          <w:szCs w:val="32"/>
        </w:rPr>
      </w:pPr>
    </w:p>
    <w:p w:rsidR="00574913" w:rsidRDefault="00574913" w:rsidP="00574913">
      <w:pPr>
        <w:tabs>
          <w:tab w:val="left" w:pos="567"/>
        </w:tabs>
        <w:spacing w:line="360" w:lineRule="auto"/>
        <w:ind w:left="567" w:hanging="567"/>
        <w:jc w:val="both"/>
        <w:rPr>
          <w:rFonts w:ascii="Arial" w:hAnsi="Arial" w:cs="Arial"/>
        </w:rPr>
      </w:pPr>
      <w:r>
        <w:rPr>
          <w:rFonts w:ascii="Arial" w:hAnsi="Arial" w:cs="Arial"/>
          <w:snapToGrid w:val="0"/>
          <w:color w:val="000000"/>
        </w:rPr>
        <w:t>2)</w:t>
      </w:r>
      <w:r>
        <w:rPr>
          <w:rFonts w:ascii="Arial" w:hAnsi="Arial" w:cs="Arial"/>
          <w:b/>
          <w:snapToGrid w:val="0"/>
          <w:color w:val="000000"/>
        </w:rPr>
        <w:t xml:space="preserve"> </w:t>
      </w:r>
      <w:r>
        <w:rPr>
          <w:rFonts w:ascii="Arial" w:hAnsi="Arial" w:cs="Arial"/>
          <w:b/>
          <w:snapToGrid w:val="0"/>
          <w:color w:val="000000"/>
        </w:rPr>
        <w:tab/>
      </w:r>
      <w:r w:rsidR="00107CE5">
        <w:rPr>
          <w:rFonts w:ascii="Arial" w:hAnsi="Arial" w:cs="Arial"/>
        </w:rPr>
        <w:t xml:space="preserve">A </w:t>
      </w:r>
      <w:r>
        <w:rPr>
          <w:rFonts w:ascii="Arial" w:hAnsi="Arial" w:cs="Arial"/>
        </w:rPr>
        <w:t xml:space="preserve">summary </w:t>
      </w:r>
      <w:r w:rsidR="00A47811">
        <w:rPr>
          <w:rFonts w:ascii="Arial" w:hAnsi="Arial" w:cs="Arial"/>
        </w:rPr>
        <w:t xml:space="preserve">of 42 pages </w:t>
      </w:r>
      <w:r>
        <w:rPr>
          <w:rFonts w:ascii="Arial" w:hAnsi="Arial" w:cs="Arial"/>
        </w:rPr>
        <w:t>of comments and inputs received w</w:t>
      </w:r>
      <w:r w:rsidR="00107CE5">
        <w:rPr>
          <w:rFonts w:ascii="Arial" w:hAnsi="Arial" w:cs="Arial"/>
        </w:rPr>
        <w:t xml:space="preserve">ould be sent directly to Hon. </w:t>
      </w:r>
      <w:r>
        <w:rPr>
          <w:rFonts w:ascii="Arial" w:hAnsi="Arial" w:cs="Arial"/>
        </w:rPr>
        <w:t>Mphithi.</w:t>
      </w:r>
    </w:p>
    <w:p w:rsidR="00107CE5" w:rsidRDefault="00107CE5" w:rsidP="00574913">
      <w:pPr>
        <w:tabs>
          <w:tab w:val="left" w:pos="567"/>
        </w:tabs>
        <w:spacing w:line="360" w:lineRule="auto"/>
        <w:ind w:left="567" w:hanging="567"/>
        <w:jc w:val="both"/>
        <w:rPr>
          <w:rFonts w:ascii="Arial" w:hAnsi="Arial" w:cs="Arial"/>
          <w:lang w:val="en-ZA"/>
        </w:rPr>
      </w:pPr>
    </w:p>
    <w:p w:rsidR="00107CE5" w:rsidRDefault="00107CE5" w:rsidP="00574913">
      <w:pPr>
        <w:tabs>
          <w:tab w:val="left" w:pos="567"/>
        </w:tabs>
        <w:spacing w:line="360" w:lineRule="auto"/>
        <w:ind w:left="567" w:hanging="567"/>
        <w:jc w:val="both"/>
        <w:rPr>
          <w:rFonts w:ascii="Arial" w:hAnsi="Arial" w:cs="Arial"/>
          <w:lang w:val="en-ZA"/>
        </w:rPr>
      </w:pPr>
    </w:p>
    <w:p w:rsidR="00107CE5" w:rsidRDefault="00107CE5" w:rsidP="00574913">
      <w:pPr>
        <w:tabs>
          <w:tab w:val="left" w:pos="567"/>
        </w:tabs>
        <w:spacing w:line="360" w:lineRule="auto"/>
        <w:ind w:left="567" w:hanging="567"/>
        <w:jc w:val="both"/>
        <w:rPr>
          <w:rFonts w:ascii="Arial" w:hAnsi="Arial" w:cs="Arial"/>
          <w:lang w:val="en-ZA"/>
        </w:rPr>
      </w:pPr>
    </w:p>
    <w:p w:rsidR="00107CE5" w:rsidRDefault="00107CE5" w:rsidP="00574913">
      <w:pPr>
        <w:tabs>
          <w:tab w:val="left" w:pos="567"/>
        </w:tabs>
        <w:spacing w:line="360" w:lineRule="auto"/>
        <w:ind w:left="567" w:hanging="567"/>
        <w:jc w:val="both"/>
        <w:rPr>
          <w:rFonts w:ascii="Arial" w:hAnsi="Arial" w:cs="Arial"/>
          <w:lang w:val="en-ZA"/>
        </w:rPr>
      </w:pPr>
    </w:p>
    <w:p w:rsidR="00574913" w:rsidRPr="00033CF6" w:rsidRDefault="00574913" w:rsidP="00033CF6">
      <w:pPr>
        <w:spacing w:line="360" w:lineRule="auto"/>
        <w:jc w:val="both"/>
        <w:rPr>
          <w:rFonts w:ascii="Arial" w:hAnsi="Arial" w:cs="Arial"/>
          <w:b/>
          <w:sz w:val="32"/>
          <w:szCs w:val="32"/>
        </w:rPr>
      </w:pPr>
    </w:p>
    <w:sectPr w:rsidR="00574913" w:rsidRPr="00033CF6"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20F" w:rsidRDefault="0029320F">
      <w:r>
        <w:separator/>
      </w:r>
    </w:p>
  </w:endnote>
  <w:endnote w:type="continuationSeparator" w:id="1">
    <w:p w:rsidR="0029320F" w:rsidRDefault="002932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20F" w:rsidRDefault="0029320F">
      <w:r>
        <w:separator/>
      </w:r>
    </w:p>
  </w:footnote>
  <w:footnote w:type="continuationSeparator" w:id="1">
    <w:p w:rsidR="0029320F" w:rsidRDefault="00293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CE06CA"/>
    <w:multiLevelType w:val="hybridMultilevel"/>
    <w:tmpl w:val="AB682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3F15A3"/>
    <w:multiLevelType w:val="hybridMultilevel"/>
    <w:tmpl w:val="FE3E1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0448CD"/>
    <w:multiLevelType w:val="hybridMultilevel"/>
    <w:tmpl w:val="4FAE4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25"/>
  </w:num>
  <w:num w:numId="4">
    <w:abstractNumId w:val="29"/>
  </w:num>
  <w:num w:numId="5">
    <w:abstractNumId w:val="4"/>
  </w:num>
  <w:num w:numId="6">
    <w:abstractNumId w:val="28"/>
  </w:num>
  <w:num w:numId="7">
    <w:abstractNumId w:val="39"/>
  </w:num>
  <w:num w:numId="8">
    <w:abstractNumId w:val="46"/>
  </w:num>
  <w:num w:numId="9">
    <w:abstractNumId w:val="19"/>
  </w:num>
  <w:num w:numId="10">
    <w:abstractNumId w:val="44"/>
  </w:num>
  <w:num w:numId="11">
    <w:abstractNumId w:val="24"/>
  </w:num>
  <w:num w:numId="12">
    <w:abstractNumId w:val="11"/>
  </w:num>
  <w:num w:numId="13">
    <w:abstractNumId w:val="33"/>
  </w:num>
  <w:num w:numId="14">
    <w:abstractNumId w:val="43"/>
  </w:num>
  <w:num w:numId="15">
    <w:abstractNumId w:val="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4"/>
  </w:num>
  <w:num w:numId="19">
    <w:abstractNumId w:val="38"/>
  </w:num>
  <w:num w:numId="20">
    <w:abstractNumId w:val="16"/>
  </w:num>
  <w:num w:numId="21">
    <w:abstractNumId w:val="36"/>
  </w:num>
  <w:num w:numId="22">
    <w:abstractNumId w:val="0"/>
  </w:num>
  <w:num w:numId="23">
    <w:abstractNumId w:val="15"/>
  </w:num>
  <w:num w:numId="24">
    <w:abstractNumId w:val="40"/>
  </w:num>
  <w:num w:numId="25">
    <w:abstractNumId w:val="5"/>
  </w:num>
  <w:num w:numId="26">
    <w:abstractNumId w:val="26"/>
  </w:num>
  <w:num w:numId="27">
    <w:abstractNumId w:val="31"/>
  </w:num>
  <w:num w:numId="28">
    <w:abstractNumId w:val="22"/>
  </w:num>
  <w:num w:numId="29">
    <w:abstractNumId w:val="37"/>
  </w:num>
  <w:num w:numId="30">
    <w:abstractNumId w:val="27"/>
  </w:num>
  <w:num w:numId="31">
    <w:abstractNumId w:val="13"/>
  </w:num>
  <w:num w:numId="32">
    <w:abstractNumId w:val="21"/>
  </w:num>
  <w:num w:numId="33">
    <w:abstractNumId w:val="30"/>
  </w:num>
  <w:num w:numId="34">
    <w:abstractNumId w:val="45"/>
  </w:num>
  <w:num w:numId="35">
    <w:abstractNumId w:val="1"/>
  </w:num>
  <w:num w:numId="36">
    <w:abstractNumId w:val="41"/>
  </w:num>
  <w:num w:numId="37">
    <w:abstractNumId w:val="12"/>
  </w:num>
  <w:num w:numId="38">
    <w:abstractNumId w:val="3"/>
  </w:num>
  <w:num w:numId="39">
    <w:abstractNumId w:val="6"/>
  </w:num>
  <w:num w:numId="40">
    <w:abstractNumId w:val="20"/>
  </w:num>
  <w:num w:numId="41">
    <w:abstractNumId w:val="17"/>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42"/>
    <w:lvlOverride w:ilvl="0"/>
    <w:lvlOverride w:ilvl="1"/>
    <w:lvlOverride w:ilvl="2"/>
    <w:lvlOverride w:ilvl="3"/>
    <w:lvlOverride w:ilvl="4"/>
    <w:lvlOverride w:ilvl="5"/>
    <w:lvlOverride w:ilvl="6"/>
    <w:lvlOverride w:ilvl="7"/>
    <w:lvlOverride w:ilvl="8"/>
  </w:num>
  <w:num w:numId="48">
    <w:abstractNumId w:val="9"/>
    <w:lvlOverride w:ilvl="0"/>
    <w:lvlOverride w:ilvl="1"/>
    <w:lvlOverride w:ilvl="2"/>
    <w:lvlOverride w:ilvl="3"/>
    <w:lvlOverride w:ilvl="4"/>
    <w:lvlOverride w:ilvl="5"/>
    <w:lvlOverride w:ilvl="6"/>
    <w:lvlOverride w:ilvl="7"/>
    <w:lvlOverride w:ilvl="8"/>
  </w:num>
  <w:num w:numId="49">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CE5"/>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5DA5"/>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1F7C10"/>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5792"/>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20F"/>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07CF2"/>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7BB"/>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4913"/>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2E9"/>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6E0"/>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674"/>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11"/>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1FC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02E"/>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 w:type="table" w:customStyle="1" w:styleId="TableGrid1">
    <w:name w:val="Table Grid1"/>
    <w:basedOn w:val="TableNormal"/>
    <w:uiPriority w:val="39"/>
    <w:rsid w:val="005507B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100348">
      <w:bodyDiv w:val="1"/>
      <w:marLeft w:val="0"/>
      <w:marRight w:val="0"/>
      <w:marTop w:val="0"/>
      <w:marBottom w:val="0"/>
      <w:divBdr>
        <w:top w:val="none" w:sz="0" w:space="0" w:color="auto"/>
        <w:left w:val="none" w:sz="0" w:space="0" w:color="auto"/>
        <w:bottom w:val="none" w:sz="0" w:space="0" w:color="auto"/>
        <w:right w:val="none" w:sz="0" w:space="0" w:color="auto"/>
      </w:divBdr>
    </w:div>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153179507">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693F-8703-47DD-8C21-CF071449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2020-12-03T08:37:00Z</dcterms:created>
  <dcterms:modified xsi:type="dcterms:W3CDTF">2020-12-03T08:37:00Z</dcterms:modified>
</cp:coreProperties>
</file>