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39"/>
        <w:rPr>
          <w:rFonts w:ascii="Times New Roman"/>
          <w:sz w:val="20"/>
        </w:rPr>
      </w:pPr>
      <w:r>
        <w:rPr>
          <w:rFonts w:ascii="Times New Roman"/>
          <w:sz w:val="20"/>
        </w:rPr>
        <w:drawing>
          <wp:inline distT="0" distB="0" distL="0" distR="0">
            <wp:extent cx="1330215" cy="1285875"/>
            <wp:effectExtent l="0" t="0" r="0" b="0"/>
            <wp:docPr id="1" name="image1.jpeg" descr="http://www.gov.za/3dcoatl.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30215" cy="1285875"/>
                    </a:xfrm>
                    <a:prstGeom prst="rect">
                      <a:avLst/>
                    </a:prstGeom>
                  </pic:spPr>
                </pic:pic>
              </a:graphicData>
            </a:graphic>
          </wp:inline>
        </w:drawing>
      </w:r>
      <w:r>
        <w:rPr>
          <w:rFonts w:ascii="Times New Roman"/>
          <w:sz w:val="20"/>
        </w:rPr>
      </w:r>
    </w:p>
    <w:p>
      <w:pPr>
        <w:pStyle w:val="BodyText"/>
        <w:spacing w:before="4"/>
        <w:rPr>
          <w:rFonts w:ascii="Times New Roman"/>
          <w:sz w:val="15"/>
        </w:rPr>
      </w:pPr>
    </w:p>
    <w:p>
      <w:pPr>
        <w:spacing w:before="101"/>
        <w:ind w:left="3101" w:right="2923" w:hanging="447"/>
        <w:jc w:val="left"/>
        <w:rPr>
          <w:rFonts w:ascii="Tahoma"/>
          <w:b/>
          <w:sz w:val="22"/>
        </w:rPr>
      </w:pPr>
      <w:r>
        <w:rPr>
          <w:rFonts w:ascii="Tahoma"/>
          <w:b/>
          <w:sz w:val="22"/>
        </w:rPr>
        <w:t>DEPARTMENT: PUBLIC ENTERPRISES REPUBLIC OF SOUTH AFRICA</w:t>
      </w:r>
    </w:p>
    <w:p>
      <w:pPr>
        <w:spacing w:before="134"/>
        <w:ind w:left="3056" w:right="3037" w:firstLine="453"/>
        <w:jc w:val="left"/>
        <w:rPr>
          <w:rFonts w:ascii="Tahoma"/>
          <w:b/>
          <w:sz w:val="22"/>
        </w:rPr>
      </w:pPr>
      <w:r>
        <w:rPr>
          <w:rFonts w:ascii="Tahoma"/>
          <w:b/>
          <w:sz w:val="22"/>
        </w:rPr>
        <w:t>NATIONAL ASSEMBLY QUESTION FOR WRITTEN REPLY</w:t>
      </w:r>
    </w:p>
    <w:p>
      <w:pPr>
        <w:spacing w:line="265" w:lineRule="exact" w:before="0"/>
        <w:ind w:left="3457" w:right="0" w:firstLine="0"/>
        <w:jc w:val="left"/>
        <w:rPr>
          <w:rFonts w:ascii="Tahoma"/>
          <w:b/>
          <w:sz w:val="22"/>
        </w:rPr>
      </w:pPr>
      <w:r>
        <w:rPr>
          <w:rFonts w:ascii="Tahoma"/>
          <w:b/>
          <w:sz w:val="22"/>
        </w:rPr>
        <w:t>QUESTION NO.: PQ 2795</w:t>
      </w:r>
    </w:p>
    <w:p>
      <w:pPr>
        <w:pStyle w:val="BodyText"/>
        <w:rPr>
          <w:rFonts w:ascii="Tahoma"/>
          <w:b/>
          <w:sz w:val="26"/>
        </w:rPr>
      </w:pPr>
    </w:p>
    <w:p>
      <w:pPr>
        <w:pStyle w:val="BodyText"/>
        <w:rPr>
          <w:rFonts w:ascii="Tahoma"/>
          <w:b/>
          <w:sz w:val="26"/>
        </w:rPr>
      </w:pPr>
    </w:p>
    <w:p>
      <w:pPr>
        <w:pStyle w:val="BodyText"/>
        <w:spacing w:before="2"/>
        <w:rPr>
          <w:rFonts w:ascii="Tahoma"/>
          <w:b/>
          <w:sz w:val="21"/>
        </w:rPr>
      </w:pPr>
    </w:p>
    <w:p>
      <w:pPr>
        <w:spacing w:before="0"/>
        <w:ind w:left="115" w:right="0" w:firstLine="0"/>
        <w:jc w:val="left"/>
        <w:rPr>
          <w:b/>
          <w:sz w:val="22"/>
        </w:rPr>
      </w:pPr>
      <w:r>
        <w:rPr>
          <w:b/>
          <w:sz w:val="22"/>
          <w:u w:val="thick"/>
        </w:rPr>
        <w:t>QUESTION</w:t>
      </w:r>
      <w:r>
        <w:rPr>
          <w:b/>
          <w:sz w:val="22"/>
        </w:rPr>
        <w:t>:</w:t>
      </w:r>
    </w:p>
    <w:p>
      <w:pPr>
        <w:pStyle w:val="BodyText"/>
        <w:spacing w:before="1"/>
        <w:rPr>
          <w:b/>
          <w:sz w:val="22"/>
        </w:rPr>
      </w:pPr>
    </w:p>
    <w:p>
      <w:pPr>
        <w:pStyle w:val="Heading1"/>
        <w:jc w:val="both"/>
      </w:pPr>
      <w:r>
        <w:rPr/>
        <w:t>2795. Mr E M Buthelezi (IFP) to ask the Minister of Public Enterprises:</w:t>
      </w:r>
    </w:p>
    <w:p>
      <w:pPr>
        <w:pStyle w:val="BodyText"/>
        <w:spacing w:before="1"/>
        <w:rPr>
          <w:b/>
          <w:sz w:val="21"/>
        </w:rPr>
      </w:pPr>
    </w:p>
    <w:p>
      <w:pPr>
        <w:pStyle w:val="BodyText"/>
        <w:spacing w:line="360" w:lineRule="auto"/>
        <w:ind w:left="103" w:right="119"/>
        <w:jc w:val="both"/>
      </w:pPr>
      <w:r>
        <w:rPr/>
        <w:t>How will the ruling of the Gauteng High Court that ordered the National Energy Regulator of South Africa to process Eskom’s revenue for the 2023 financial year, affect ordinary South Africans, especially on the roll-out of load shedding?</w:t>
      </w:r>
    </w:p>
    <w:p>
      <w:pPr>
        <w:pStyle w:val="BodyText"/>
        <w:rPr>
          <w:sz w:val="36"/>
        </w:rPr>
      </w:pPr>
    </w:p>
    <w:p>
      <w:pPr>
        <w:spacing w:before="0"/>
        <w:ind w:left="170" w:right="0" w:firstLine="0"/>
        <w:jc w:val="left"/>
        <w:rPr>
          <w:b/>
          <w:sz w:val="24"/>
        </w:rPr>
      </w:pPr>
      <w:r>
        <w:rPr>
          <w:b/>
          <w:sz w:val="24"/>
          <w:u w:val="thick"/>
        </w:rPr>
        <w:t>REPLY:</w:t>
      </w:r>
    </w:p>
    <w:p>
      <w:pPr>
        <w:pStyle w:val="BodyText"/>
        <w:rPr>
          <w:b/>
          <w:sz w:val="25"/>
        </w:rPr>
      </w:pPr>
    </w:p>
    <w:p>
      <w:pPr>
        <w:pStyle w:val="BodyText"/>
        <w:spacing w:line="360" w:lineRule="auto" w:before="93"/>
        <w:ind w:left="103" w:right="113"/>
        <w:jc w:val="both"/>
      </w:pPr>
      <w:r>
        <w:rPr/>
        <w:t>The order by the Gauteng High Court requires the National Energy Regulator of South Africa (NERSA) to fulfil its mandatory role in accordance with an approved methodology. This</w:t>
      </w:r>
      <w:r>
        <w:rPr>
          <w:spacing w:val="-8"/>
        </w:rPr>
        <w:t> </w:t>
      </w:r>
      <w:r>
        <w:rPr/>
        <w:t>is</w:t>
      </w:r>
      <w:r>
        <w:rPr>
          <w:spacing w:val="-8"/>
        </w:rPr>
        <w:t> </w:t>
      </w:r>
      <w:r>
        <w:rPr/>
        <w:t>a</w:t>
      </w:r>
      <w:r>
        <w:rPr>
          <w:spacing w:val="-8"/>
        </w:rPr>
        <w:t> </w:t>
      </w:r>
      <w:r>
        <w:rPr/>
        <w:t>normal</w:t>
      </w:r>
      <w:r>
        <w:rPr>
          <w:spacing w:val="-8"/>
        </w:rPr>
        <w:t> </w:t>
      </w:r>
      <w:r>
        <w:rPr/>
        <w:t>process</w:t>
      </w:r>
      <w:r>
        <w:rPr>
          <w:spacing w:val="-7"/>
        </w:rPr>
        <w:t> </w:t>
      </w:r>
      <w:r>
        <w:rPr/>
        <w:t>that</w:t>
      </w:r>
      <w:r>
        <w:rPr>
          <w:spacing w:val="-7"/>
        </w:rPr>
        <w:t> </w:t>
      </w:r>
      <w:r>
        <w:rPr/>
        <w:t>NERSA</w:t>
      </w:r>
      <w:r>
        <w:rPr>
          <w:spacing w:val="-6"/>
        </w:rPr>
        <w:t> </w:t>
      </w:r>
      <w:r>
        <w:rPr/>
        <w:t>undertakes</w:t>
      </w:r>
      <w:r>
        <w:rPr>
          <w:spacing w:val="-3"/>
        </w:rPr>
        <w:t> </w:t>
      </w:r>
      <w:r>
        <w:rPr/>
        <w:t>whenever</w:t>
      </w:r>
      <w:r>
        <w:rPr>
          <w:spacing w:val="-8"/>
        </w:rPr>
        <w:t> </w:t>
      </w:r>
      <w:r>
        <w:rPr/>
        <w:t>a</w:t>
      </w:r>
      <w:r>
        <w:rPr>
          <w:spacing w:val="-6"/>
        </w:rPr>
        <w:t> </w:t>
      </w:r>
      <w:r>
        <w:rPr/>
        <w:t>price</w:t>
      </w:r>
      <w:r>
        <w:rPr>
          <w:spacing w:val="-9"/>
        </w:rPr>
        <w:t> </w:t>
      </w:r>
      <w:r>
        <w:rPr/>
        <w:t>adjustment</w:t>
      </w:r>
      <w:r>
        <w:rPr>
          <w:spacing w:val="-6"/>
        </w:rPr>
        <w:t> </w:t>
      </w:r>
      <w:r>
        <w:rPr/>
        <w:t>application is</w:t>
      </w:r>
      <w:r>
        <w:rPr>
          <w:spacing w:val="-10"/>
        </w:rPr>
        <w:t> </w:t>
      </w:r>
      <w:r>
        <w:rPr/>
        <w:t>made.</w:t>
      </w:r>
      <w:r>
        <w:rPr>
          <w:spacing w:val="-15"/>
        </w:rPr>
        <w:t> </w:t>
      </w:r>
      <w:r>
        <w:rPr/>
        <w:t>When</w:t>
      </w:r>
      <w:r>
        <w:rPr>
          <w:spacing w:val="-11"/>
        </w:rPr>
        <w:t> </w:t>
      </w:r>
      <w:r>
        <w:rPr/>
        <w:t>NERSA</w:t>
      </w:r>
      <w:r>
        <w:rPr>
          <w:spacing w:val="-11"/>
        </w:rPr>
        <w:t> </w:t>
      </w:r>
      <w:r>
        <w:rPr/>
        <w:t>makes</w:t>
      </w:r>
      <w:r>
        <w:rPr>
          <w:spacing w:val="-11"/>
        </w:rPr>
        <w:t> </w:t>
      </w:r>
      <w:r>
        <w:rPr/>
        <w:t>its</w:t>
      </w:r>
      <w:r>
        <w:rPr>
          <w:spacing w:val="-12"/>
        </w:rPr>
        <w:t> </w:t>
      </w:r>
      <w:r>
        <w:rPr/>
        <w:t>decision</w:t>
      </w:r>
      <w:r>
        <w:rPr>
          <w:spacing w:val="-10"/>
        </w:rPr>
        <w:t> </w:t>
      </w:r>
      <w:r>
        <w:rPr/>
        <w:t>in</w:t>
      </w:r>
      <w:r>
        <w:rPr>
          <w:spacing w:val="-11"/>
        </w:rPr>
        <w:t> </w:t>
      </w:r>
      <w:r>
        <w:rPr/>
        <w:t>February</w:t>
      </w:r>
      <w:r>
        <w:rPr>
          <w:spacing w:val="-11"/>
        </w:rPr>
        <w:t> </w:t>
      </w:r>
      <w:r>
        <w:rPr/>
        <w:t>2022,</w:t>
      </w:r>
      <w:r>
        <w:rPr>
          <w:spacing w:val="-11"/>
        </w:rPr>
        <w:t> </w:t>
      </w:r>
      <w:r>
        <w:rPr/>
        <w:t>it</w:t>
      </w:r>
      <w:r>
        <w:rPr>
          <w:spacing w:val="-8"/>
        </w:rPr>
        <w:t> </w:t>
      </w:r>
      <w:r>
        <w:rPr/>
        <w:t>will</w:t>
      </w:r>
      <w:r>
        <w:rPr>
          <w:spacing w:val="-10"/>
        </w:rPr>
        <w:t> </w:t>
      </w:r>
      <w:r>
        <w:rPr/>
        <w:t>give</w:t>
      </w:r>
      <w:r>
        <w:rPr>
          <w:spacing w:val="-7"/>
        </w:rPr>
        <w:t> </w:t>
      </w:r>
      <w:r>
        <w:rPr/>
        <w:t>an</w:t>
      </w:r>
      <w:r>
        <w:rPr>
          <w:spacing w:val="-8"/>
        </w:rPr>
        <w:t> </w:t>
      </w:r>
      <w:r>
        <w:rPr/>
        <w:t>indication</w:t>
      </w:r>
      <w:r>
        <w:rPr>
          <w:spacing w:val="-11"/>
        </w:rPr>
        <w:t> </w:t>
      </w:r>
      <w:r>
        <w:rPr/>
        <w:t>of</w:t>
      </w:r>
      <w:r>
        <w:rPr>
          <w:spacing w:val="-8"/>
        </w:rPr>
        <w:t> </w:t>
      </w:r>
      <w:r>
        <w:rPr/>
        <w:t>the price adjustment that electricity consumers will</w:t>
      </w:r>
      <w:r>
        <w:rPr>
          <w:spacing w:val="-7"/>
        </w:rPr>
        <w:t> </w:t>
      </w:r>
      <w:r>
        <w:rPr/>
        <w:t>experience.</w:t>
      </w:r>
    </w:p>
    <w:sectPr>
      <w:type w:val="continuous"/>
      <w:pgSz w:w="11910" w:h="16840"/>
      <w:pgMar w:top="44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3"/>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INFORMATION MEMORANDUM</dc:title>
  <dcterms:created xsi:type="dcterms:W3CDTF">2022-01-12T11:30:16Z</dcterms:created>
  <dcterms:modified xsi:type="dcterms:W3CDTF">2022-01-12T11:30:16Z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