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C7D9B"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BB1867">
      <w:pP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1924DA">
        <w:rPr>
          <w:rFonts w:ascii="Arial" w:eastAsia="Arial Unicode MS" w:hAnsi="Arial" w:cs="Arial"/>
          <w:b/>
          <w:color w:val="000000"/>
          <w:u w:color="000000"/>
        </w:rPr>
        <w:t>27</w:t>
      </w:r>
      <w:r w:rsidR="008E5C8B">
        <w:rPr>
          <w:rFonts w:ascii="Arial" w:eastAsia="Arial Unicode MS" w:hAnsi="Arial" w:cs="Arial"/>
          <w:b/>
          <w:color w:val="000000"/>
          <w:u w:color="000000"/>
        </w:rPr>
        <w:t>85</w:t>
      </w:r>
    </w:p>
    <w:p w:rsidR="001924DA" w:rsidRPr="001924DA" w:rsidRDefault="00412E67" w:rsidP="008E5C8B">
      <w:pPr>
        <w:spacing w:before="240" w:line="276" w:lineRule="auto"/>
        <w:jc w:val="both"/>
        <w:outlineLvl w:val="0"/>
        <w:rPr>
          <w:rFonts w:ascii="Arial" w:hAnsi="Arial" w:cs="Arial"/>
          <w:b/>
          <w:color w:val="353838"/>
          <w:lang w:val="en-GB"/>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1924DA">
        <w:rPr>
          <w:rFonts w:ascii="Arial" w:eastAsia="Arial Unicode MS" w:hAnsi="Arial" w:cs="Arial"/>
          <w:b/>
          <w:color w:val="000000"/>
          <w:u w:color="000000"/>
        </w:rPr>
        <w:t>14</w:t>
      </w:r>
      <w:r w:rsidR="00A54ADA">
        <w:rPr>
          <w:rFonts w:ascii="Arial" w:eastAsia="Arial Unicode MS" w:hAnsi="Arial" w:cs="Arial"/>
          <w:b/>
          <w:color w:val="000000"/>
          <w:u w:color="000000"/>
        </w:rPr>
        <w:t xml:space="preserve"> September 2018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8E5C8B" w:rsidRPr="008E5C8B" w:rsidRDefault="008E5C8B" w:rsidP="008E5C8B">
      <w:pPr>
        <w:pStyle w:val="NormalWeb"/>
        <w:ind w:left="720" w:hanging="720"/>
        <w:jc w:val="both"/>
        <w:outlineLvl w:val="0"/>
        <w:rPr>
          <w:rFonts w:ascii="Arial" w:hAnsi="Arial" w:cs="Arial"/>
          <w:color w:val="353838"/>
        </w:rPr>
      </w:pPr>
      <w:r w:rsidRPr="008E5C8B">
        <w:rPr>
          <w:rFonts w:ascii="Arial" w:hAnsi="Arial" w:cs="Arial"/>
          <w:b/>
          <w:color w:val="353838"/>
          <w:lang w:val="en-GB"/>
        </w:rPr>
        <w:t>M J Cardo (DA) to ask the Minister of Economic Development:</w:t>
      </w:r>
    </w:p>
    <w:p w:rsidR="008E5C8B" w:rsidRPr="008E5C8B" w:rsidRDefault="008E5C8B" w:rsidP="00757A98">
      <w:pPr>
        <w:pStyle w:val="NormalWeb"/>
        <w:spacing w:line="276" w:lineRule="auto"/>
        <w:ind w:left="720" w:hanging="720"/>
        <w:jc w:val="both"/>
        <w:rPr>
          <w:rFonts w:ascii="Arial" w:hAnsi="Arial" w:cs="Arial"/>
          <w:color w:val="353838"/>
        </w:rPr>
      </w:pPr>
      <w:r w:rsidRPr="008E5C8B">
        <w:rPr>
          <w:rFonts w:ascii="Arial" w:hAnsi="Arial" w:cs="Arial"/>
          <w:color w:val="353838"/>
          <w:lang w:val="en-GB"/>
        </w:rPr>
        <w:t>(1)</w:t>
      </w:r>
      <w:r w:rsidRPr="008E5C8B">
        <w:rPr>
          <w:rFonts w:ascii="Arial" w:hAnsi="Arial" w:cs="Arial"/>
          <w:color w:val="353838"/>
          <w:lang w:val="en-GB"/>
        </w:rPr>
        <w:tab/>
        <w:t xml:space="preserve">(a) Which members of the Competition Commission’s executive committee received VIP protection services (i) in each of the past five financial years and (ii) since 1 April 2018, (b) for what period did each member of the commission’s executive committee receive VIP protection services and (c) what was the total cost to the commission of providing the specified VIP protection services; </w:t>
      </w:r>
    </w:p>
    <w:p w:rsidR="008E5C8B" w:rsidRPr="008E5C8B" w:rsidRDefault="008E5C8B" w:rsidP="00757A98">
      <w:pPr>
        <w:pStyle w:val="NormalWeb"/>
        <w:spacing w:line="276" w:lineRule="auto"/>
        <w:ind w:left="720" w:hanging="720"/>
        <w:jc w:val="both"/>
        <w:rPr>
          <w:rFonts w:ascii="Arial" w:hAnsi="Arial" w:cs="Arial"/>
          <w:color w:val="353838"/>
        </w:rPr>
      </w:pPr>
      <w:r w:rsidRPr="008E5C8B">
        <w:rPr>
          <w:rFonts w:ascii="Arial" w:hAnsi="Arial" w:cs="Arial"/>
          <w:color w:val="353838"/>
          <w:lang w:val="en-GB"/>
        </w:rPr>
        <w:t>(2)</w:t>
      </w:r>
      <w:r w:rsidRPr="008E5C8B">
        <w:rPr>
          <w:rFonts w:ascii="Arial" w:hAnsi="Arial" w:cs="Arial"/>
          <w:color w:val="353838"/>
          <w:lang w:val="en-GB"/>
        </w:rPr>
        <w:tab/>
        <w:t>whether a security threat analysis was conducted by the SA Police Service in each case; if not, what is the position in this regard; if so, what are the details of the recommendation of each security risk analysis?</w:t>
      </w:r>
      <w:r w:rsidRPr="008E5C8B">
        <w:rPr>
          <w:rFonts w:ascii="Arial" w:hAnsi="Arial" w:cs="Arial"/>
          <w:color w:val="353838"/>
          <w:lang w:val="en-GB"/>
        </w:rPr>
        <w:tab/>
      </w:r>
      <w:r w:rsidRPr="008E5C8B">
        <w:rPr>
          <w:rFonts w:ascii="Arial" w:hAnsi="Arial" w:cs="Arial"/>
          <w:color w:val="353838"/>
          <w:lang w:val="en-GB"/>
        </w:rPr>
        <w:tab/>
      </w:r>
      <w:r w:rsidRPr="008E5C8B">
        <w:rPr>
          <w:rFonts w:ascii="Arial" w:hAnsi="Arial" w:cs="Arial"/>
          <w:color w:val="353838"/>
          <w:lang w:val="en-GB"/>
        </w:rPr>
        <w:tab/>
      </w:r>
      <w:r w:rsidRPr="008E5C8B">
        <w:rPr>
          <w:rFonts w:ascii="Arial" w:eastAsia="Calibri" w:hAnsi="Arial" w:cs="Arial"/>
          <w:color w:val="353838"/>
        </w:rPr>
        <w:t>NW3078E</w:t>
      </w:r>
    </w:p>
    <w:p w:rsidR="008E5C8B" w:rsidRDefault="008E5C8B" w:rsidP="00C9430F">
      <w:pPr>
        <w:pStyle w:val="ListParagraph"/>
        <w:spacing w:line="360" w:lineRule="auto"/>
        <w:ind w:left="0"/>
        <w:jc w:val="both"/>
        <w:rPr>
          <w:rFonts w:ascii="Arial" w:hAnsi="Arial" w:cs="Arial"/>
          <w:b/>
          <w:szCs w:val="24"/>
        </w:rPr>
      </w:pPr>
    </w:p>
    <w:p w:rsidR="001C37E8" w:rsidRDefault="00494C9B" w:rsidP="00C9430F">
      <w:pPr>
        <w:pStyle w:val="ListParagraph"/>
        <w:spacing w:line="360" w:lineRule="auto"/>
        <w:ind w:left="0"/>
        <w:jc w:val="both"/>
        <w:rPr>
          <w:rFonts w:ascii="Arial" w:hAnsi="Arial" w:cs="Arial"/>
          <w:b/>
          <w:szCs w:val="24"/>
          <w:lang w:val="en-ZA"/>
        </w:rPr>
      </w:pPr>
      <w:r w:rsidRPr="00664CF9">
        <w:rPr>
          <w:rFonts w:ascii="Arial" w:hAnsi="Arial" w:cs="Arial"/>
          <w:b/>
          <w:szCs w:val="24"/>
        </w:rPr>
        <w:t>REPLY</w:t>
      </w:r>
      <w:r w:rsidR="00C9430F">
        <w:rPr>
          <w:rFonts w:ascii="Arial" w:hAnsi="Arial" w:cs="Arial"/>
          <w:b/>
          <w:szCs w:val="24"/>
          <w:lang w:val="en-ZA"/>
        </w:rPr>
        <w:t xml:space="preserve">: </w:t>
      </w:r>
    </w:p>
    <w:p w:rsidR="00EB6A04" w:rsidRDefault="00EB6A04" w:rsidP="00480C60">
      <w:pPr>
        <w:spacing w:line="276" w:lineRule="auto"/>
        <w:jc w:val="both"/>
        <w:outlineLvl w:val="0"/>
        <w:rPr>
          <w:rFonts w:ascii="Arial" w:eastAsia="Arial Unicode MS" w:hAnsi="Arial" w:cs="Arial"/>
          <w:color w:val="000000"/>
        </w:rPr>
      </w:pPr>
    </w:p>
    <w:p w:rsidR="00EB6A04" w:rsidRDefault="00EB6A04" w:rsidP="00480C60">
      <w:pPr>
        <w:spacing w:line="276" w:lineRule="auto"/>
        <w:jc w:val="both"/>
        <w:outlineLvl w:val="0"/>
        <w:rPr>
          <w:rFonts w:ascii="Arial" w:eastAsia="Arial Unicode MS" w:hAnsi="Arial" w:cs="Arial"/>
          <w:color w:val="000000"/>
        </w:rPr>
      </w:pPr>
      <w:r>
        <w:rPr>
          <w:rFonts w:ascii="Arial" w:eastAsia="Arial Unicode MS" w:hAnsi="Arial" w:cs="Arial"/>
          <w:color w:val="000000"/>
        </w:rPr>
        <w:t>I have been advised by the Commissioner of t</w:t>
      </w:r>
      <w:r w:rsidR="00743886">
        <w:rPr>
          <w:rFonts w:ascii="Arial" w:eastAsia="Arial Unicode MS" w:hAnsi="Arial" w:cs="Arial"/>
          <w:color w:val="000000"/>
        </w:rPr>
        <w:t>he Competition Commission, Mr T</w:t>
      </w:r>
      <w:r>
        <w:rPr>
          <w:rFonts w:ascii="Arial" w:eastAsia="Arial Unicode MS" w:hAnsi="Arial" w:cs="Arial"/>
          <w:color w:val="000000"/>
        </w:rPr>
        <w:t>embinkosi Bonakele, of the following:</w:t>
      </w:r>
    </w:p>
    <w:p w:rsidR="00EB6A04" w:rsidRDefault="00EB6A04" w:rsidP="00480C60">
      <w:pPr>
        <w:spacing w:line="276" w:lineRule="auto"/>
        <w:jc w:val="both"/>
        <w:outlineLvl w:val="0"/>
        <w:rPr>
          <w:rFonts w:ascii="Arial" w:eastAsia="Arial Unicode MS" w:hAnsi="Arial" w:cs="Arial"/>
          <w:color w:val="000000"/>
        </w:rPr>
      </w:pPr>
    </w:p>
    <w:p w:rsidR="00EB6A04" w:rsidRDefault="00EB6A04" w:rsidP="00480C60">
      <w:pPr>
        <w:spacing w:line="276" w:lineRule="auto"/>
        <w:jc w:val="both"/>
        <w:outlineLvl w:val="0"/>
        <w:rPr>
          <w:rFonts w:ascii="Arial" w:eastAsia="Arial Unicode MS" w:hAnsi="Arial" w:cs="Arial"/>
          <w:color w:val="000000"/>
        </w:rPr>
      </w:pPr>
      <w:r>
        <w:rPr>
          <w:rFonts w:ascii="Arial" w:eastAsia="Arial Unicode MS" w:hAnsi="Arial" w:cs="Arial"/>
          <w:color w:val="000000"/>
        </w:rPr>
        <w:t xml:space="preserve">1. The Competition Commission undertakes investigations into collusion and cartel activities in the economy and in the course of carrying out its responsibilities, </w:t>
      </w:r>
      <w:r w:rsidR="00D54BCC">
        <w:rPr>
          <w:rFonts w:ascii="Arial" w:eastAsia="Arial Unicode MS" w:hAnsi="Arial" w:cs="Arial"/>
          <w:color w:val="000000"/>
        </w:rPr>
        <w:t xml:space="preserve">it is privy to commercially sensitive information which may result in significant </w:t>
      </w:r>
      <w:r w:rsidR="003C7D49">
        <w:rPr>
          <w:rFonts w:ascii="Arial" w:eastAsia="Arial Unicode MS" w:hAnsi="Arial" w:cs="Arial"/>
          <w:color w:val="000000"/>
        </w:rPr>
        <w:t xml:space="preserve">competition </w:t>
      </w:r>
      <w:r w:rsidR="00D54BCC">
        <w:rPr>
          <w:rFonts w:ascii="Arial" w:eastAsia="Arial Unicode MS" w:hAnsi="Arial" w:cs="Arial"/>
          <w:color w:val="000000"/>
        </w:rPr>
        <w:t xml:space="preserve">penalties being imposed </w:t>
      </w:r>
      <w:r w:rsidR="003C7D49">
        <w:rPr>
          <w:rFonts w:ascii="Arial" w:eastAsia="Arial Unicode MS" w:hAnsi="Arial" w:cs="Arial"/>
          <w:color w:val="000000"/>
        </w:rPr>
        <w:t xml:space="preserve">on affected parties </w:t>
      </w:r>
      <w:r w:rsidR="00D54BCC">
        <w:rPr>
          <w:rFonts w:ascii="Arial" w:eastAsia="Arial Unicode MS" w:hAnsi="Arial" w:cs="Arial"/>
          <w:color w:val="000000"/>
        </w:rPr>
        <w:t xml:space="preserve">and the possibility of criminal charges being brought against individuals. In addition, significant </w:t>
      </w:r>
      <w:r>
        <w:rPr>
          <w:rFonts w:ascii="Arial" w:eastAsia="Arial Unicode MS" w:hAnsi="Arial" w:cs="Arial"/>
          <w:color w:val="000000"/>
        </w:rPr>
        <w:t xml:space="preserve">vested interests </w:t>
      </w:r>
      <w:r w:rsidR="00D54BCC">
        <w:rPr>
          <w:rFonts w:ascii="Arial" w:eastAsia="Arial Unicode MS" w:hAnsi="Arial" w:cs="Arial"/>
          <w:color w:val="000000"/>
        </w:rPr>
        <w:t>in the economy may be</w:t>
      </w:r>
      <w:r>
        <w:rPr>
          <w:rFonts w:ascii="Arial" w:eastAsia="Arial Unicode MS" w:hAnsi="Arial" w:cs="Arial"/>
          <w:color w:val="000000"/>
        </w:rPr>
        <w:t xml:space="preserve"> affected</w:t>
      </w:r>
      <w:r w:rsidR="00D54BCC">
        <w:rPr>
          <w:rFonts w:ascii="Arial" w:eastAsia="Arial Unicode MS" w:hAnsi="Arial" w:cs="Arial"/>
          <w:color w:val="000000"/>
        </w:rPr>
        <w:t xml:space="preserve"> by the work of the Commission. </w:t>
      </w:r>
    </w:p>
    <w:p w:rsidR="00EB6A04" w:rsidRDefault="00EB6A04" w:rsidP="00480C60">
      <w:pPr>
        <w:spacing w:line="276" w:lineRule="auto"/>
        <w:jc w:val="both"/>
        <w:outlineLvl w:val="0"/>
        <w:rPr>
          <w:rFonts w:ascii="Arial" w:eastAsia="Arial Unicode MS" w:hAnsi="Arial" w:cs="Arial"/>
          <w:color w:val="000000"/>
        </w:rPr>
      </w:pPr>
    </w:p>
    <w:p w:rsidR="00EB6A04" w:rsidRDefault="00EB6A04" w:rsidP="00480C60">
      <w:pPr>
        <w:spacing w:line="276" w:lineRule="auto"/>
        <w:jc w:val="both"/>
        <w:outlineLvl w:val="0"/>
        <w:rPr>
          <w:rFonts w:ascii="Arial" w:eastAsia="Arial Unicode MS" w:hAnsi="Arial" w:cs="Arial"/>
          <w:color w:val="000000"/>
        </w:rPr>
      </w:pPr>
      <w:r>
        <w:rPr>
          <w:rFonts w:ascii="Arial" w:eastAsia="Arial Unicode MS" w:hAnsi="Arial" w:cs="Arial"/>
          <w:color w:val="000000"/>
        </w:rPr>
        <w:t xml:space="preserve">2. The Competition Commission and senior staff have been subject to a spate of criminal acts, the source and purpose of which is not yet apparent in spite of these having been reported to the law-enforcement agencies, which warranted in the </w:t>
      </w:r>
      <w:r>
        <w:rPr>
          <w:rFonts w:ascii="Arial" w:eastAsia="Arial Unicode MS" w:hAnsi="Arial" w:cs="Arial"/>
          <w:color w:val="000000"/>
        </w:rPr>
        <w:lastRenderedPageBreak/>
        <w:t>opinion of the Commission, the provision of security to a limited number of senior officials in order to ensure the safety of persons and sensitive information.</w:t>
      </w:r>
    </w:p>
    <w:p w:rsidR="00EB6A04" w:rsidRDefault="00EB6A04" w:rsidP="00480C60">
      <w:pPr>
        <w:spacing w:line="276" w:lineRule="auto"/>
        <w:jc w:val="both"/>
        <w:outlineLvl w:val="0"/>
        <w:rPr>
          <w:rFonts w:ascii="Arial" w:eastAsia="Arial Unicode MS" w:hAnsi="Arial" w:cs="Arial"/>
          <w:color w:val="000000"/>
        </w:rPr>
      </w:pPr>
    </w:p>
    <w:p w:rsidR="00EB6A04" w:rsidRDefault="00EB6A04" w:rsidP="00480C60">
      <w:pPr>
        <w:spacing w:line="276" w:lineRule="auto"/>
        <w:jc w:val="both"/>
        <w:outlineLvl w:val="0"/>
        <w:rPr>
          <w:rFonts w:ascii="Arial" w:eastAsia="Arial Unicode MS" w:hAnsi="Arial" w:cs="Arial"/>
          <w:color w:val="000000"/>
        </w:rPr>
      </w:pPr>
      <w:r>
        <w:rPr>
          <w:rFonts w:ascii="Arial" w:eastAsia="Arial Unicode MS" w:hAnsi="Arial" w:cs="Arial"/>
          <w:color w:val="000000"/>
        </w:rPr>
        <w:t>3. The criminal acts comprised of the following:</w:t>
      </w:r>
    </w:p>
    <w:p w:rsidR="00EB6A04" w:rsidRPr="00EB6A04" w:rsidRDefault="00EB6A04" w:rsidP="00EB6A04">
      <w:pPr>
        <w:numPr>
          <w:ilvl w:val="0"/>
          <w:numId w:val="24"/>
        </w:numPr>
        <w:spacing w:line="276" w:lineRule="auto"/>
        <w:jc w:val="both"/>
        <w:outlineLvl w:val="0"/>
        <w:rPr>
          <w:rFonts w:ascii="Arial" w:eastAsia="Arial Unicode MS" w:hAnsi="Arial" w:cs="Arial"/>
          <w:color w:val="000000"/>
        </w:rPr>
      </w:pPr>
      <w:r>
        <w:rPr>
          <w:rFonts w:ascii="Arial" w:hAnsi="Arial" w:cs="Arial"/>
        </w:rPr>
        <w:t>on 25 May 2017 the Deputy Commissioner, while retur</w:t>
      </w:r>
      <w:r w:rsidR="00D54BCC">
        <w:rPr>
          <w:rFonts w:ascii="Arial" w:hAnsi="Arial" w:cs="Arial"/>
        </w:rPr>
        <w:t xml:space="preserve">ning from a work assignment, </w:t>
      </w:r>
      <w:r>
        <w:rPr>
          <w:rFonts w:ascii="Arial" w:hAnsi="Arial" w:cs="Arial"/>
        </w:rPr>
        <w:t>was held at gunpoint and his work computer laptop, tablet and mobile phone,</w:t>
      </w:r>
      <w:r w:rsidR="00D54BCC">
        <w:rPr>
          <w:rFonts w:ascii="Arial" w:hAnsi="Arial" w:cs="Arial"/>
        </w:rPr>
        <w:t xml:space="preserve"> among other things, were taken</w:t>
      </w:r>
      <w:r>
        <w:rPr>
          <w:rFonts w:ascii="Arial" w:hAnsi="Arial" w:cs="Arial"/>
        </w:rPr>
        <w:t>.</w:t>
      </w:r>
    </w:p>
    <w:p w:rsidR="00EB6A04" w:rsidRDefault="00456520" w:rsidP="00EB6A04">
      <w:pPr>
        <w:numPr>
          <w:ilvl w:val="0"/>
          <w:numId w:val="24"/>
        </w:numPr>
        <w:spacing w:line="276" w:lineRule="auto"/>
        <w:jc w:val="both"/>
        <w:rPr>
          <w:rFonts w:ascii="Arial" w:hAnsi="Arial" w:cs="Arial"/>
        </w:rPr>
      </w:pPr>
      <w:r>
        <w:rPr>
          <w:rFonts w:ascii="Arial" w:hAnsi="Arial" w:cs="Arial"/>
        </w:rPr>
        <w:t xml:space="preserve">On </w:t>
      </w:r>
      <w:r w:rsidR="00EB6A04">
        <w:rPr>
          <w:rFonts w:ascii="Arial" w:hAnsi="Arial" w:cs="Arial"/>
        </w:rPr>
        <w:t xml:space="preserve">8 August 2017 there was a security breach at the Commission premises and two laptops containing sensitive evidence were stolen from the Cartels Division. This followed incidents where laptops and mobile phones belonging to, amongst others, the Commissioner were stolen under what the Commissioner described as ‘mysterious circumstances’. </w:t>
      </w:r>
    </w:p>
    <w:p w:rsidR="00EB6A04" w:rsidRPr="00456520" w:rsidRDefault="00456520" w:rsidP="00480C60">
      <w:pPr>
        <w:numPr>
          <w:ilvl w:val="0"/>
          <w:numId w:val="24"/>
        </w:numPr>
        <w:spacing w:line="276" w:lineRule="auto"/>
        <w:jc w:val="both"/>
        <w:outlineLvl w:val="0"/>
        <w:rPr>
          <w:rFonts w:ascii="Arial" w:eastAsia="Arial Unicode MS" w:hAnsi="Arial" w:cs="Arial"/>
          <w:color w:val="000000"/>
        </w:rPr>
      </w:pPr>
      <w:r>
        <w:rPr>
          <w:rFonts w:ascii="Arial" w:hAnsi="Arial" w:cs="Arial"/>
        </w:rPr>
        <w:t>On 9 September 2017, t</w:t>
      </w:r>
      <w:r w:rsidRPr="009220EF">
        <w:rPr>
          <w:rFonts w:ascii="Arial" w:hAnsi="Arial" w:cs="Arial"/>
        </w:rPr>
        <w:t>he Chief Financial Offic</w:t>
      </w:r>
      <w:r>
        <w:rPr>
          <w:rFonts w:ascii="Arial" w:hAnsi="Arial" w:cs="Arial"/>
        </w:rPr>
        <w:t xml:space="preserve">er (CFO) </w:t>
      </w:r>
      <w:r w:rsidRPr="009220EF">
        <w:rPr>
          <w:rFonts w:ascii="Arial" w:hAnsi="Arial" w:cs="Arial"/>
        </w:rPr>
        <w:t>was robbed at gun-point.</w:t>
      </w:r>
    </w:p>
    <w:p w:rsidR="00456520" w:rsidRDefault="00456520" w:rsidP="00480C60">
      <w:pPr>
        <w:spacing w:line="276" w:lineRule="auto"/>
        <w:jc w:val="both"/>
        <w:outlineLvl w:val="0"/>
        <w:rPr>
          <w:rFonts w:ascii="Arial" w:eastAsia="Arial Unicode MS" w:hAnsi="Arial" w:cs="Arial"/>
          <w:color w:val="000000"/>
        </w:rPr>
      </w:pPr>
    </w:p>
    <w:p w:rsidR="00456520" w:rsidRDefault="00456520" w:rsidP="00456520">
      <w:pPr>
        <w:spacing w:line="276" w:lineRule="auto"/>
        <w:jc w:val="both"/>
        <w:rPr>
          <w:rFonts w:ascii="Arial" w:hAnsi="Arial" w:cs="Arial"/>
        </w:rPr>
      </w:pPr>
      <w:r>
        <w:rPr>
          <w:rFonts w:ascii="Arial" w:eastAsia="Arial Unicode MS" w:hAnsi="Arial" w:cs="Arial"/>
          <w:color w:val="000000"/>
        </w:rPr>
        <w:t xml:space="preserve">4. </w:t>
      </w:r>
      <w:r>
        <w:rPr>
          <w:rFonts w:ascii="Arial" w:hAnsi="Arial" w:cs="Arial"/>
        </w:rPr>
        <w:t>The Commission took measures which included the provision of private security to four senior staff members; terminating the services of the security service provider at the Commission premises; and commissioning a security assessment by a private service provider. The report pointed to some security gaps in the security of the Commissioner, the Deputy Commissioner and the Divisional Manager for Cartels. Further work is also being done on IT security systems and further upgrades will be done subject to budget availability.</w:t>
      </w:r>
      <w:r w:rsidRPr="00FD3210">
        <w:rPr>
          <w:rFonts w:ascii="Arial" w:hAnsi="Arial" w:cs="Arial"/>
        </w:rPr>
        <w:t xml:space="preserve"> </w:t>
      </w:r>
    </w:p>
    <w:p w:rsidR="00456520" w:rsidRDefault="00456520" w:rsidP="00480C60">
      <w:pPr>
        <w:spacing w:line="276" w:lineRule="auto"/>
        <w:jc w:val="both"/>
        <w:outlineLvl w:val="0"/>
        <w:rPr>
          <w:rFonts w:ascii="Arial" w:eastAsia="Arial Unicode MS" w:hAnsi="Arial" w:cs="Arial"/>
          <w:color w:val="000000"/>
        </w:rPr>
      </w:pPr>
    </w:p>
    <w:p w:rsidR="00EB6A04" w:rsidRDefault="00456520" w:rsidP="00480C60">
      <w:pPr>
        <w:spacing w:line="276" w:lineRule="auto"/>
        <w:jc w:val="both"/>
        <w:outlineLvl w:val="0"/>
        <w:rPr>
          <w:rFonts w:ascii="Arial" w:hAnsi="Arial" w:cs="Arial"/>
        </w:rPr>
      </w:pPr>
      <w:r>
        <w:rPr>
          <w:rFonts w:ascii="Arial" w:eastAsia="Arial Unicode MS" w:hAnsi="Arial" w:cs="Arial"/>
          <w:color w:val="000000"/>
        </w:rPr>
        <w:t xml:space="preserve">5. In addition to the above, </w:t>
      </w:r>
      <w:r>
        <w:rPr>
          <w:rFonts w:ascii="Arial" w:hAnsi="Arial" w:cs="Arial"/>
        </w:rPr>
        <w:t xml:space="preserve">and following the request by the Commission, SAPS covers the security of former </w:t>
      </w:r>
      <w:r w:rsidRPr="00D555AC">
        <w:rPr>
          <w:rFonts w:ascii="Arial" w:hAnsi="Arial" w:cs="Arial"/>
        </w:rPr>
        <w:t>Chief Justice Ngcobo</w:t>
      </w:r>
      <w:r>
        <w:rPr>
          <w:rFonts w:ascii="Arial" w:hAnsi="Arial" w:cs="Arial"/>
        </w:rPr>
        <w:t xml:space="preserve"> who is currently heading a panel appointed by the Commission to conduct a Market Inquiry into private healthcare, with the Commission providing vehicles for the SAPS members assigned to the former Chief Justice.</w:t>
      </w:r>
    </w:p>
    <w:p w:rsidR="00456520" w:rsidRDefault="00456520" w:rsidP="00480C60">
      <w:pPr>
        <w:spacing w:line="276" w:lineRule="auto"/>
        <w:jc w:val="both"/>
        <w:outlineLvl w:val="0"/>
        <w:rPr>
          <w:rFonts w:ascii="Arial" w:hAnsi="Arial" w:cs="Arial"/>
        </w:rPr>
      </w:pPr>
    </w:p>
    <w:p w:rsidR="00573347" w:rsidRDefault="00573347" w:rsidP="00573347">
      <w:pPr>
        <w:spacing w:line="276" w:lineRule="auto"/>
        <w:ind w:left="709" w:hanging="709"/>
        <w:jc w:val="both"/>
        <w:rPr>
          <w:rFonts w:ascii="Arial" w:hAnsi="Arial" w:cs="Arial"/>
        </w:rPr>
      </w:pPr>
      <w:r>
        <w:rPr>
          <w:rFonts w:ascii="Arial" w:hAnsi="Arial" w:cs="Arial"/>
        </w:rPr>
        <w:t xml:space="preserve">6. </w:t>
      </w:r>
      <w:r w:rsidRPr="00300C80">
        <w:rPr>
          <w:rFonts w:ascii="Arial" w:hAnsi="Arial" w:cs="Arial"/>
        </w:rPr>
        <w:t>The tot</w:t>
      </w:r>
      <w:r>
        <w:rPr>
          <w:rFonts w:ascii="Arial" w:hAnsi="Arial" w:cs="Arial"/>
        </w:rPr>
        <w:t xml:space="preserve">al costs for the various Protection Services amount to R14,9 million, as follows: </w:t>
      </w:r>
    </w:p>
    <w:p w:rsidR="00573347" w:rsidRPr="002058A3" w:rsidRDefault="00573347" w:rsidP="00573347">
      <w:pPr>
        <w:numPr>
          <w:ilvl w:val="0"/>
          <w:numId w:val="22"/>
        </w:numPr>
        <w:spacing w:line="276" w:lineRule="auto"/>
        <w:jc w:val="both"/>
        <w:rPr>
          <w:rFonts w:ascii="Arial" w:hAnsi="Arial" w:cs="Arial"/>
        </w:rPr>
      </w:pPr>
      <w:r w:rsidRPr="002058A3">
        <w:rPr>
          <w:rFonts w:ascii="Arial" w:hAnsi="Arial" w:cs="Arial"/>
        </w:rPr>
        <w:t xml:space="preserve">June 2017 – 31 March 2018 = R 14 607 748. </w:t>
      </w:r>
    </w:p>
    <w:p w:rsidR="00573347" w:rsidRPr="002058A3" w:rsidRDefault="00573347" w:rsidP="00573347">
      <w:pPr>
        <w:numPr>
          <w:ilvl w:val="0"/>
          <w:numId w:val="22"/>
        </w:numPr>
        <w:spacing w:line="276" w:lineRule="auto"/>
        <w:jc w:val="both"/>
        <w:rPr>
          <w:rFonts w:ascii="Arial" w:hAnsi="Arial" w:cs="Arial"/>
        </w:rPr>
      </w:pPr>
      <w:r w:rsidRPr="002058A3">
        <w:rPr>
          <w:rFonts w:ascii="Arial" w:hAnsi="Arial" w:cs="Arial"/>
        </w:rPr>
        <w:t xml:space="preserve">1 April 2018 – August </w:t>
      </w:r>
      <w:r w:rsidR="008B6F94" w:rsidRPr="002058A3">
        <w:rPr>
          <w:rFonts w:ascii="Arial" w:hAnsi="Arial" w:cs="Arial"/>
        </w:rPr>
        <w:t>2018</w:t>
      </w:r>
      <w:r w:rsidR="008B6F94">
        <w:rPr>
          <w:rFonts w:ascii="Arial" w:hAnsi="Arial" w:cs="Arial"/>
        </w:rPr>
        <w:t xml:space="preserve"> </w:t>
      </w:r>
      <w:r w:rsidR="008B6F94" w:rsidRPr="002058A3">
        <w:rPr>
          <w:rFonts w:ascii="Arial" w:hAnsi="Arial" w:cs="Arial"/>
        </w:rPr>
        <w:t>=</w:t>
      </w:r>
      <w:r w:rsidRPr="002058A3">
        <w:rPr>
          <w:rFonts w:ascii="Arial" w:hAnsi="Arial" w:cs="Arial"/>
        </w:rPr>
        <w:t xml:space="preserve"> R 373 304. </w:t>
      </w:r>
    </w:p>
    <w:p w:rsidR="00573347" w:rsidRDefault="00573347" w:rsidP="00480C60">
      <w:pPr>
        <w:spacing w:line="276" w:lineRule="auto"/>
        <w:jc w:val="both"/>
        <w:outlineLvl w:val="0"/>
        <w:rPr>
          <w:rFonts w:ascii="Arial" w:hAnsi="Arial" w:cs="Arial"/>
        </w:rPr>
      </w:pPr>
    </w:p>
    <w:p w:rsidR="00456520" w:rsidRDefault="00573347" w:rsidP="00480C60">
      <w:pPr>
        <w:spacing w:line="276" w:lineRule="auto"/>
        <w:jc w:val="both"/>
        <w:outlineLvl w:val="0"/>
        <w:rPr>
          <w:rFonts w:ascii="Arial" w:hAnsi="Arial" w:cs="Arial"/>
        </w:rPr>
      </w:pPr>
      <w:r>
        <w:rPr>
          <w:rFonts w:ascii="Arial" w:hAnsi="Arial" w:cs="Arial"/>
        </w:rPr>
        <w:t>7</w:t>
      </w:r>
      <w:r w:rsidR="00456520">
        <w:rPr>
          <w:rFonts w:ascii="Arial" w:hAnsi="Arial" w:cs="Arial"/>
        </w:rPr>
        <w:t xml:space="preserve">. </w:t>
      </w:r>
      <w:r w:rsidR="00E06CD1" w:rsidRPr="009220EF">
        <w:rPr>
          <w:rFonts w:ascii="Arial" w:hAnsi="Arial" w:cs="Arial"/>
        </w:rPr>
        <w:t>The State Security</w:t>
      </w:r>
      <w:r w:rsidR="00E06CD1">
        <w:rPr>
          <w:rFonts w:ascii="Arial" w:hAnsi="Arial" w:cs="Arial"/>
        </w:rPr>
        <w:t xml:space="preserve"> Agency was approached to further investigate</w:t>
      </w:r>
      <w:r w:rsidR="00E06CD1" w:rsidRPr="009220EF">
        <w:rPr>
          <w:rFonts w:ascii="Arial" w:hAnsi="Arial" w:cs="Arial"/>
        </w:rPr>
        <w:t xml:space="preserve"> these incidents and it undertook to conduct a comprehensive assessment on the security requirements of the Commission and its report is imminent. The detailed security assessments will inform any further decisions on this matter, including whether </w:t>
      </w:r>
      <w:r w:rsidR="00E06CD1">
        <w:rPr>
          <w:rFonts w:ascii="Arial" w:hAnsi="Arial" w:cs="Arial"/>
        </w:rPr>
        <w:t>to continue with security measures an</w:t>
      </w:r>
      <w:r w:rsidR="00D54BCC">
        <w:rPr>
          <w:rFonts w:ascii="Arial" w:hAnsi="Arial" w:cs="Arial"/>
        </w:rPr>
        <w:t>d the appropriate level of such services</w:t>
      </w:r>
      <w:r w:rsidR="00E06CD1">
        <w:rPr>
          <w:rFonts w:ascii="Arial" w:hAnsi="Arial" w:cs="Arial"/>
        </w:rPr>
        <w:t xml:space="preserve">. </w:t>
      </w:r>
    </w:p>
    <w:p w:rsidR="00456520" w:rsidRDefault="00456520" w:rsidP="00480C60">
      <w:pPr>
        <w:spacing w:line="276" w:lineRule="auto"/>
        <w:jc w:val="both"/>
        <w:outlineLvl w:val="0"/>
        <w:rPr>
          <w:rFonts w:ascii="Arial" w:eastAsia="Arial Unicode MS" w:hAnsi="Arial" w:cs="Arial"/>
          <w:color w:val="000000"/>
        </w:rPr>
      </w:pPr>
    </w:p>
    <w:p w:rsidR="003F522A" w:rsidRPr="00C9430F" w:rsidRDefault="003F522A" w:rsidP="003F522A">
      <w:pPr>
        <w:spacing w:line="360" w:lineRule="auto"/>
        <w:jc w:val="both"/>
        <w:rPr>
          <w:rFonts w:ascii="Arial" w:hAnsi="Arial" w:cs="Arial"/>
          <w:szCs w:val="22"/>
        </w:rPr>
      </w:pPr>
    </w:p>
    <w:p w:rsidR="00D917B0" w:rsidRDefault="00D917B0" w:rsidP="001C37E8">
      <w:pPr>
        <w:spacing w:line="276" w:lineRule="auto"/>
        <w:jc w:val="both"/>
        <w:rPr>
          <w:rFonts w:ascii="Arial" w:eastAsia="Calibri" w:hAnsi="Arial" w:cs="Arial"/>
          <w:b/>
          <w:bCs/>
          <w:lang w:val="en-ZA"/>
        </w:rPr>
      </w:pPr>
    </w:p>
    <w:p w:rsidR="001C37E8" w:rsidRPr="009866B4" w:rsidRDefault="009866B4" w:rsidP="009866B4">
      <w:pPr>
        <w:pStyle w:val="Body1"/>
        <w:spacing w:line="360" w:lineRule="auto"/>
        <w:jc w:val="center"/>
        <w:rPr>
          <w:rFonts w:ascii="Arial" w:hAnsi="Arial"/>
          <w:b/>
          <w:szCs w:val="24"/>
        </w:rPr>
      </w:pPr>
      <w:r w:rsidRPr="009866B4">
        <w:rPr>
          <w:rFonts w:ascii="Arial" w:hAnsi="Arial"/>
          <w:b/>
          <w:szCs w:val="24"/>
        </w:rPr>
        <w:t>-END-</w:t>
      </w:r>
    </w:p>
    <w:p w:rsidR="002678AD" w:rsidRDefault="002678AD" w:rsidP="001C37E8">
      <w:pPr>
        <w:rPr>
          <w:rFonts w:ascii="Arial" w:hAnsi="Arial" w:cs="Arial"/>
          <w:lang w:val="en-ZA" w:eastAsia="en-ZA"/>
        </w:rPr>
      </w:pPr>
    </w:p>
    <w:p w:rsidR="00FE73B7" w:rsidRDefault="00FE73B7" w:rsidP="001C37E8">
      <w:pPr>
        <w:rPr>
          <w:rFonts w:ascii="Arial" w:hAnsi="Arial" w:cs="Arial"/>
          <w:lang w:val="en-ZA" w:eastAsia="en-ZA"/>
        </w:rPr>
      </w:pPr>
    </w:p>
    <w:p w:rsidR="00FE73B7" w:rsidRDefault="00FE73B7" w:rsidP="001C37E8">
      <w:pPr>
        <w:rPr>
          <w:rFonts w:ascii="Arial" w:hAnsi="Arial" w:cs="Arial"/>
          <w:lang w:val="en-ZA" w:eastAsia="en-ZA"/>
        </w:rPr>
      </w:pPr>
    </w:p>
    <w:p w:rsidR="00FE73B7" w:rsidRDefault="00FE73B7" w:rsidP="001C37E8">
      <w:pPr>
        <w:rPr>
          <w:rFonts w:ascii="Arial" w:hAnsi="Arial" w:cs="Arial"/>
          <w:lang w:val="en-ZA" w:eastAsia="en-ZA"/>
        </w:rPr>
      </w:pPr>
    </w:p>
    <w:p w:rsidR="00FE73B7" w:rsidRDefault="00FE73B7" w:rsidP="001C37E8">
      <w:pPr>
        <w:rPr>
          <w:rFonts w:ascii="Arial" w:hAnsi="Arial" w:cs="Arial"/>
          <w:lang w:val="en-ZA" w:eastAsia="en-ZA"/>
        </w:rPr>
      </w:pPr>
    </w:p>
    <w:p w:rsidR="00EA7DD7" w:rsidRDefault="00EA7DD7" w:rsidP="001C37E8">
      <w:pPr>
        <w:rPr>
          <w:rFonts w:ascii="Arial" w:hAnsi="Arial" w:cs="Arial"/>
          <w:lang w:val="en-ZA" w:eastAsia="en-ZA"/>
        </w:rPr>
      </w:pPr>
    </w:p>
    <w:p w:rsidR="00EA7DD7" w:rsidRDefault="00EA7DD7" w:rsidP="001C37E8">
      <w:pPr>
        <w:rPr>
          <w:rFonts w:ascii="Arial" w:hAnsi="Arial" w:cs="Arial"/>
          <w:lang w:val="en-ZA" w:eastAsia="en-ZA"/>
        </w:rPr>
      </w:pPr>
    </w:p>
    <w:p w:rsidR="00EA7DD7" w:rsidRDefault="00EA7DD7" w:rsidP="001C37E8">
      <w:pPr>
        <w:rPr>
          <w:rFonts w:ascii="Arial" w:hAnsi="Arial" w:cs="Arial"/>
          <w:lang w:val="en-ZA" w:eastAsia="en-ZA"/>
        </w:rPr>
      </w:pPr>
    </w:p>
    <w:p w:rsidR="00EA7DD7" w:rsidRDefault="00EA7DD7" w:rsidP="001C37E8">
      <w:pPr>
        <w:rPr>
          <w:rFonts w:ascii="Arial" w:hAnsi="Arial" w:cs="Arial"/>
          <w:lang w:val="en-ZA" w:eastAsia="en-ZA"/>
        </w:rPr>
      </w:pPr>
    </w:p>
    <w:p w:rsidR="00EA7DD7" w:rsidRDefault="00EA7DD7" w:rsidP="001C37E8">
      <w:pPr>
        <w:rPr>
          <w:rFonts w:ascii="Arial" w:hAnsi="Arial" w:cs="Arial"/>
          <w:lang w:val="en-ZA" w:eastAsia="en-ZA"/>
        </w:rPr>
      </w:pPr>
    </w:p>
    <w:p w:rsidR="00EA7DD7" w:rsidRDefault="00EA7DD7" w:rsidP="001C37E8">
      <w:pPr>
        <w:rPr>
          <w:rFonts w:ascii="Arial" w:hAnsi="Arial" w:cs="Arial"/>
          <w:lang w:val="en-ZA" w:eastAsia="en-ZA"/>
        </w:rPr>
      </w:pPr>
    </w:p>
    <w:p w:rsidR="00EA7DD7" w:rsidRDefault="00EA7DD7" w:rsidP="001C37E8">
      <w:pPr>
        <w:rPr>
          <w:rFonts w:ascii="Arial" w:hAnsi="Arial" w:cs="Arial"/>
          <w:lang w:val="en-ZA" w:eastAsia="en-ZA"/>
        </w:rPr>
      </w:pPr>
    </w:p>
    <w:p w:rsidR="00FE73B7" w:rsidRDefault="00FE73B7" w:rsidP="001C37E8">
      <w:pPr>
        <w:rPr>
          <w:rFonts w:ascii="Arial" w:hAnsi="Arial" w:cs="Arial"/>
          <w:lang w:val="en-ZA" w:eastAsia="en-ZA"/>
        </w:rPr>
      </w:pPr>
    </w:p>
    <w:p w:rsidR="00FE73B7" w:rsidRDefault="00FE73B7" w:rsidP="001C37E8">
      <w:pPr>
        <w:rPr>
          <w:rFonts w:ascii="Arial" w:hAnsi="Arial" w:cs="Arial"/>
          <w:b/>
          <w:u w:val="single"/>
          <w:lang w:val="en-ZA" w:eastAsia="en-ZA"/>
        </w:rPr>
      </w:pPr>
      <w:r w:rsidRPr="00FE73B7">
        <w:rPr>
          <w:rFonts w:ascii="Arial" w:hAnsi="Arial" w:cs="Arial"/>
          <w:b/>
          <w:u w:val="single"/>
          <w:lang w:val="en-ZA" w:eastAsia="en-ZA"/>
        </w:rPr>
        <w:t xml:space="preserve">ADDITIONAL INFORMATION </w:t>
      </w:r>
    </w:p>
    <w:p w:rsidR="00FE73B7" w:rsidRDefault="00FE73B7" w:rsidP="001C37E8">
      <w:pPr>
        <w:rPr>
          <w:rFonts w:ascii="Arial" w:hAnsi="Arial" w:cs="Arial"/>
          <w:b/>
          <w:u w:val="single"/>
          <w:lang w:val="en-ZA" w:eastAsia="en-ZA"/>
        </w:rPr>
      </w:pPr>
    </w:p>
    <w:p w:rsidR="00FE73B7" w:rsidRDefault="00FE73B7" w:rsidP="001C37E8">
      <w:pPr>
        <w:rPr>
          <w:rFonts w:ascii="Arial" w:hAnsi="Arial" w:cs="Arial"/>
          <w:b/>
          <w:u w:val="single"/>
          <w:lang w:val="en-ZA" w:eastAsia="en-ZA"/>
        </w:rPr>
      </w:pPr>
    </w:p>
    <w:p w:rsidR="00AF103D" w:rsidRDefault="00FE73B7" w:rsidP="00AF103D">
      <w:pPr>
        <w:spacing w:line="360" w:lineRule="auto"/>
        <w:ind w:left="720" w:hanging="720"/>
        <w:jc w:val="both"/>
        <w:rPr>
          <w:rFonts w:ascii="Arial" w:hAnsi="Arial" w:cs="Arial"/>
        </w:rPr>
      </w:pPr>
      <w:r w:rsidRPr="00FE73B7">
        <w:rPr>
          <w:rFonts w:ascii="Arial" w:hAnsi="Arial" w:cs="Arial"/>
          <w:b/>
          <w:lang w:val="en-ZA" w:eastAsia="en-ZA"/>
        </w:rPr>
        <w:t>(1c)</w:t>
      </w:r>
      <w:r>
        <w:rPr>
          <w:rFonts w:ascii="Arial" w:hAnsi="Arial" w:cs="Arial"/>
          <w:b/>
          <w:lang w:val="en-ZA" w:eastAsia="en-ZA"/>
        </w:rPr>
        <w:tab/>
      </w:r>
      <w:r w:rsidR="00AF103D" w:rsidRPr="007833C7">
        <w:rPr>
          <w:rFonts w:ascii="Arial" w:hAnsi="Arial" w:cs="Arial"/>
        </w:rPr>
        <w:t xml:space="preserve">The total cost for providing private protection services from June 2017 to 31 March 2018 is R14 607 748. Total cost for providing private protection services from 1 April 2018 to August 2018 is R373 304. From June 2017 to March 2018 the cost reflect the amount for outsourced private security services. The security arrangement was revised and there was a reduction on the intensity of the services and most were insourced. The R373 304 is the total for outsourced private security services since 1 April 2018 until 31 August 2018 Total of cost of both period amounts to R14 981 051. </w:t>
      </w:r>
    </w:p>
    <w:p w:rsidR="0063241C" w:rsidRDefault="0063241C" w:rsidP="00AF103D">
      <w:pPr>
        <w:spacing w:line="360" w:lineRule="auto"/>
        <w:ind w:left="720" w:hanging="720"/>
        <w:jc w:val="both"/>
        <w:rPr>
          <w:rFonts w:ascii="Arial" w:hAnsi="Arial" w:cs="Arial"/>
        </w:rPr>
      </w:pPr>
    </w:p>
    <w:p w:rsidR="0063241C" w:rsidRPr="007833C7" w:rsidRDefault="0063241C" w:rsidP="00AF103D">
      <w:pPr>
        <w:spacing w:line="360" w:lineRule="auto"/>
        <w:ind w:left="720" w:hanging="720"/>
        <w:jc w:val="both"/>
        <w:rPr>
          <w:rFonts w:ascii="Arial" w:hAnsi="Arial" w:cs="Arial"/>
        </w:rPr>
      </w:pPr>
    </w:p>
    <w:p w:rsidR="00FE73B7" w:rsidRPr="00FE73B7" w:rsidRDefault="00FE73B7" w:rsidP="001C37E8">
      <w:pPr>
        <w:rPr>
          <w:rFonts w:ascii="Arial" w:hAnsi="Arial" w:cs="Arial"/>
          <w:b/>
          <w:lang w:val="en-ZA" w:eastAsia="en-ZA"/>
        </w:rPr>
      </w:pPr>
    </w:p>
    <w:sectPr w:rsidR="00FE73B7" w:rsidRPr="00FE73B7"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05" w:rsidRDefault="00173D05">
      <w:r>
        <w:separator/>
      </w:r>
    </w:p>
  </w:endnote>
  <w:endnote w:type="continuationSeparator" w:id="0">
    <w:p w:rsidR="00173D05" w:rsidRDefault="00173D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94" w:rsidRPr="00F35024" w:rsidRDefault="001F499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173D05">
      <w:rPr>
        <w:rFonts w:ascii="Arial" w:hAnsi="Arial" w:cs="Arial"/>
        <w:noProof/>
        <w:sz w:val="16"/>
        <w:szCs w:val="16"/>
        <w:lang w:val="en-US"/>
      </w:rPr>
      <w:t>1</w:t>
    </w:r>
    <w:r w:rsidRPr="00F35024">
      <w:rPr>
        <w:rFonts w:ascii="Arial" w:hAnsi="Arial" w:cs="Arial"/>
        <w:sz w:val="16"/>
        <w:szCs w:val="16"/>
        <w:lang w:val="en-US"/>
      </w:rPr>
      <w:fldChar w:fldCharType="end"/>
    </w:r>
  </w:p>
  <w:p w:rsidR="001F4994" w:rsidRPr="00F35024" w:rsidRDefault="001F499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2785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05" w:rsidRDefault="00173D05">
      <w:r>
        <w:separator/>
      </w:r>
    </w:p>
  </w:footnote>
  <w:footnote w:type="continuationSeparator" w:id="0">
    <w:p w:rsidR="00173D05" w:rsidRDefault="0017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94" w:rsidRPr="00EC7D9A" w:rsidRDefault="001F4994"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15E"/>
    <w:multiLevelType w:val="hybridMultilevel"/>
    <w:tmpl w:val="06DEBC68"/>
    <w:lvl w:ilvl="0" w:tplc="96F8540E">
      <w:numFmt w:val="bullet"/>
      <w:lvlText w:val="-"/>
      <w:lvlJc w:val="left"/>
      <w:pPr>
        <w:ind w:left="1080" w:hanging="360"/>
      </w:pPr>
      <w:rPr>
        <w:rFonts w:ascii="Arial" w:eastAsia="Times New Roman" w:hAnsi="Arial" w:cs="Arial"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49555E7"/>
    <w:multiLevelType w:val="hybridMultilevel"/>
    <w:tmpl w:val="57720776"/>
    <w:lvl w:ilvl="0" w:tplc="006A195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290B7F"/>
    <w:multiLevelType w:val="hybridMultilevel"/>
    <w:tmpl w:val="B38CA6A4"/>
    <w:lvl w:ilvl="0" w:tplc="83EEA7A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5E0AE7"/>
    <w:multiLevelType w:val="hybridMultilevel"/>
    <w:tmpl w:val="7EEA4DEE"/>
    <w:lvl w:ilvl="0" w:tplc="D0D2C246">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53E7C2B"/>
    <w:multiLevelType w:val="hybridMultilevel"/>
    <w:tmpl w:val="AE768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C91C63"/>
    <w:multiLevelType w:val="hybridMultilevel"/>
    <w:tmpl w:val="7122A568"/>
    <w:lvl w:ilvl="0" w:tplc="23584804">
      <w:start w:val="3"/>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217F15"/>
    <w:multiLevelType w:val="hybridMultilevel"/>
    <w:tmpl w:val="28467A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1">
    <w:nsid w:val="43B654BA"/>
    <w:multiLevelType w:val="hybridMultilevel"/>
    <w:tmpl w:val="195C6100"/>
    <w:lvl w:ilvl="0" w:tplc="C74C68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6E7298"/>
    <w:multiLevelType w:val="hybridMultilevel"/>
    <w:tmpl w:val="61D499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BBE0167"/>
    <w:multiLevelType w:val="hybridMultilevel"/>
    <w:tmpl w:val="7A4C58AC"/>
    <w:lvl w:ilvl="0" w:tplc="F10CFFCC">
      <w:start w:val="1"/>
      <w:numFmt w:val="decimal"/>
      <w:lvlText w:val="%1."/>
      <w:lvlJc w:val="left"/>
      <w:pPr>
        <w:ind w:left="360" w:hanging="360"/>
      </w:pPr>
      <w:rPr>
        <w:rFonts w:hint="default"/>
      </w:rPr>
    </w:lvl>
    <w:lvl w:ilvl="1" w:tplc="42807D8C">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2F6CD5"/>
    <w:multiLevelType w:val="hybridMultilevel"/>
    <w:tmpl w:val="0864487C"/>
    <w:lvl w:ilvl="0" w:tplc="4C0012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5A55B68"/>
    <w:multiLevelType w:val="hybridMultilevel"/>
    <w:tmpl w:val="D6E47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7BF020A"/>
    <w:multiLevelType w:val="hybridMultilevel"/>
    <w:tmpl w:val="829872C2"/>
    <w:lvl w:ilvl="0" w:tplc="672808C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D67D9E"/>
    <w:multiLevelType w:val="hybridMultilevel"/>
    <w:tmpl w:val="C64E4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0AF637B"/>
    <w:multiLevelType w:val="hybridMultilevel"/>
    <w:tmpl w:val="776A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165DB"/>
    <w:multiLevelType w:val="hybridMultilevel"/>
    <w:tmpl w:val="22A8F0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D2C5921"/>
    <w:multiLevelType w:val="hybridMultilevel"/>
    <w:tmpl w:val="890E6650"/>
    <w:lvl w:ilvl="0" w:tplc="3CA27EB6">
      <w:start w:val="1"/>
      <w:numFmt w:val="decimal"/>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num w:numId="1">
    <w:abstractNumId w:val="20"/>
  </w:num>
  <w:num w:numId="2">
    <w:abstractNumId w:val="21"/>
  </w:num>
  <w:num w:numId="3">
    <w:abstractNumId w:val="8"/>
  </w:num>
  <w:num w:numId="4">
    <w:abstractNumId w:val="7"/>
  </w:num>
  <w:num w:numId="5">
    <w:abstractNumId w:val="9"/>
  </w:num>
  <w:num w:numId="6">
    <w:abstractNumId w:val="10"/>
  </w:num>
  <w:num w:numId="7">
    <w:abstractNumId w:val="22"/>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
  </w:num>
  <w:num w:numId="13">
    <w:abstractNumId w:val="2"/>
  </w:num>
  <w:num w:numId="14">
    <w:abstractNumId w:val="13"/>
  </w:num>
  <w:num w:numId="15">
    <w:abstractNumId w:val="18"/>
  </w:num>
  <w:num w:numId="16">
    <w:abstractNumId w:val="3"/>
  </w:num>
  <w:num w:numId="17">
    <w:abstractNumId w:val="19"/>
  </w:num>
  <w:num w:numId="18">
    <w:abstractNumId w:val="4"/>
  </w:num>
  <w:num w:numId="19">
    <w:abstractNumId w:val="15"/>
  </w:num>
  <w:num w:numId="20">
    <w:abstractNumId w:val="12"/>
  </w:num>
  <w:num w:numId="21">
    <w:abstractNumId w:val="17"/>
  </w:num>
  <w:num w:numId="22">
    <w:abstractNumId w:val="6"/>
  </w:num>
  <w:num w:numId="23">
    <w:abstractNumId w:val="0"/>
  </w:num>
  <w:num w:numId="2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0FF1"/>
    <w:rsid w:val="00021B18"/>
    <w:rsid w:val="00022751"/>
    <w:rsid w:val="00027FDC"/>
    <w:rsid w:val="000358B1"/>
    <w:rsid w:val="00035AB7"/>
    <w:rsid w:val="000377DB"/>
    <w:rsid w:val="00040471"/>
    <w:rsid w:val="0004322A"/>
    <w:rsid w:val="00043A13"/>
    <w:rsid w:val="0004551C"/>
    <w:rsid w:val="00045532"/>
    <w:rsid w:val="00050B29"/>
    <w:rsid w:val="00054DDA"/>
    <w:rsid w:val="000558E0"/>
    <w:rsid w:val="00066AB6"/>
    <w:rsid w:val="00071577"/>
    <w:rsid w:val="00071825"/>
    <w:rsid w:val="00073124"/>
    <w:rsid w:val="000749B6"/>
    <w:rsid w:val="00085286"/>
    <w:rsid w:val="00090537"/>
    <w:rsid w:val="000951DB"/>
    <w:rsid w:val="00095C52"/>
    <w:rsid w:val="000A0161"/>
    <w:rsid w:val="000A0CA7"/>
    <w:rsid w:val="000A32E2"/>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4FCD"/>
    <w:rsid w:val="00127B35"/>
    <w:rsid w:val="00135E7C"/>
    <w:rsid w:val="00136F0B"/>
    <w:rsid w:val="00140EE5"/>
    <w:rsid w:val="00143692"/>
    <w:rsid w:val="00146CB1"/>
    <w:rsid w:val="00160C82"/>
    <w:rsid w:val="00164373"/>
    <w:rsid w:val="0016738D"/>
    <w:rsid w:val="001701CC"/>
    <w:rsid w:val="00173D05"/>
    <w:rsid w:val="001819B5"/>
    <w:rsid w:val="00182F3E"/>
    <w:rsid w:val="00183543"/>
    <w:rsid w:val="00187F72"/>
    <w:rsid w:val="001924DA"/>
    <w:rsid w:val="00197FBE"/>
    <w:rsid w:val="001A2584"/>
    <w:rsid w:val="001A2DB8"/>
    <w:rsid w:val="001A4D2A"/>
    <w:rsid w:val="001A54CD"/>
    <w:rsid w:val="001A5FA3"/>
    <w:rsid w:val="001A79C0"/>
    <w:rsid w:val="001B14C7"/>
    <w:rsid w:val="001B3623"/>
    <w:rsid w:val="001B4463"/>
    <w:rsid w:val="001B671E"/>
    <w:rsid w:val="001C37E8"/>
    <w:rsid w:val="001C3C25"/>
    <w:rsid w:val="001C3F95"/>
    <w:rsid w:val="001D2724"/>
    <w:rsid w:val="001D6781"/>
    <w:rsid w:val="001D7203"/>
    <w:rsid w:val="001E0A07"/>
    <w:rsid w:val="001F1D92"/>
    <w:rsid w:val="001F4994"/>
    <w:rsid w:val="001F63F2"/>
    <w:rsid w:val="001F7D18"/>
    <w:rsid w:val="002058A3"/>
    <w:rsid w:val="00207022"/>
    <w:rsid w:val="00216D98"/>
    <w:rsid w:val="002205F1"/>
    <w:rsid w:val="0022183D"/>
    <w:rsid w:val="00227544"/>
    <w:rsid w:val="00233488"/>
    <w:rsid w:val="00241AF8"/>
    <w:rsid w:val="00246ECE"/>
    <w:rsid w:val="00247676"/>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1AA8"/>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3220"/>
    <w:rsid w:val="00365E00"/>
    <w:rsid w:val="00372F0C"/>
    <w:rsid w:val="00373D6D"/>
    <w:rsid w:val="003768EC"/>
    <w:rsid w:val="00380E09"/>
    <w:rsid w:val="003835B6"/>
    <w:rsid w:val="00383D0E"/>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C7D49"/>
    <w:rsid w:val="003D0589"/>
    <w:rsid w:val="003D0A55"/>
    <w:rsid w:val="003D2145"/>
    <w:rsid w:val="003D2A51"/>
    <w:rsid w:val="003D4AE7"/>
    <w:rsid w:val="003D4CBA"/>
    <w:rsid w:val="003D749F"/>
    <w:rsid w:val="003E3548"/>
    <w:rsid w:val="003F01B8"/>
    <w:rsid w:val="003F09FD"/>
    <w:rsid w:val="003F522A"/>
    <w:rsid w:val="00401A20"/>
    <w:rsid w:val="00407B6F"/>
    <w:rsid w:val="00412E67"/>
    <w:rsid w:val="00412F01"/>
    <w:rsid w:val="00413350"/>
    <w:rsid w:val="00415204"/>
    <w:rsid w:val="0041552A"/>
    <w:rsid w:val="00415D14"/>
    <w:rsid w:val="004163E6"/>
    <w:rsid w:val="00417BED"/>
    <w:rsid w:val="00420AD4"/>
    <w:rsid w:val="00422C97"/>
    <w:rsid w:val="00424580"/>
    <w:rsid w:val="00426065"/>
    <w:rsid w:val="00432161"/>
    <w:rsid w:val="004323C7"/>
    <w:rsid w:val="0043506F"/>
    <w:rsid w:val="004526FE"/>
    <w:rsid w:val="0045532A"/>
    <w:rsid w:val="00456520"/>
    <w:rsid w:val="00457861"/>
    <w:rsid w:val="00477890"/>
    <w:rsid w:val="00480C60"/>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6941"/>
    <w:rsid w:val="00525033"/>
    <w:rsid w:val="0053211B"/>
    <w:rsid w:val="00540E36"/>
    <w:rsid w:val="00544AAC"/>
    <w:rsid w:val="00547320"/>
    <w:rsid w:val="00547607"/>
    <w:rsid w:val="00552105"/>
    <w:rsid w:val="005522C9"/>
    <w:rsid w:val="00554521"/>
    <w:rsid w:val="005557CA"/>
    <w:rsid w:val="00560D71"/>
    <w:rsid w:val="005625F2"/>
    <w:rsid w:val="00572684"/>
    <w:rsid w:val="00573347"/>
    <w:rsid w:val="00574B6D"/>
    <w:rsid w:val="005826DA"/>
    <w:rsid w:val="0058474B"/>
    <w:rsid w:val="0058768E"/>
    <w:rsid w:val="00594594"/>
    <w:rsid w:val="00594A3C"/>
    <w:rsid w:val="00594F83"/>
    <w:rsid w:val="005A1877"/>
    <w:rsid w:val="005B2B0F"/>
    <w:rsid w:val="005B3EC7"/>
    <w:rsid w:val="005B5130"/>
    <w:rsid w:val="005B6291"/>
    <w:rsid w:val="005C0B3F"/>
    <w:rsid w:val="005C3B3E"/>
    <w:rsid w:val="005C4F7F"/>
    <w:rsid w:val="005C53F1"/>
    <w:rsid w:val="005C719D"/>
    <w:rsid w:val="005D2542"/>
    <w:rsid w:val="005E0EA6"/>
    <w:rsid w:val="005E1E5B"/>
    <w:rsid w:val="005E4381"/>
    <w:rsid w:val="005E7837"/>
    <w:rsid w:val="005F09EC"/>
    <w:rsid w:val="005F0DED"/>
    <w:rsid w:val="005F2F25"/>
    <w:rsid w:val="005F40B0"/>
    <w:rsid w:val="005F5765"/>
    <w:rsid w:val="005F6774"/>
    <w:rsid w:val="006017A7"/>
    <w:rsid w:val="00606FBD"/>
    <w:rsid w:val="00610112"/>
    <w:rsid w:val="006124E7"/>
    <w:rsid w:val="00613936"/>
    <w:rsid w:val="0061439E"/>
    <w:rsid w:val="006202F9"/>
    <w:rsid w:val="00621B15"/>
    <w:rsid w:val="006268A4"/>
    <w:rsid w:val="00626C85"/>
    <w:rsid w:val="00632026"/>
    <w:rsid w:val="006323B9"/>
    <w:rsid w:val="0063241C"/>
    <w:rsid w:val="006328FD"/>
    <w:rsid w:val="0063532E"/>
    <w:rsid w:val="00635C23"/>
    <w:rsid w:val="00641848"/>
    <w:rsid w:val="006420A0"/>
    <w:rsid w:val="00643CC4"/>
    <w:rsid w:val="0065290E"/>
    <w:rsid w:val="00660366"/>
    <w:rsid w:val="00660F73"/>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97241"/>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D4"/>
    <w:rsid w:val="006E60F1"/>
    <w:rsid w:val="006E61A5"/>
    <w:rsid w:val="006E7E0D"/>
    <w:rsid w:val="006F4877"/>
    <w:rsid w:val="006F64E5"/>
    <w:rsid w:val="006F69F3"/>
    <w:rsid w:val="00701B88"/>
    <w:rsid w:val="00705F3A"/>
    <w:rsid w:val="007125BB"/>
    <w:rsid w:val="007153DF"/>
    <w:rsid w:val="00716E08"/>
    <w:rsid w:val="007230DF"/>
    <w:rsid w:val="00723C46"/>
    <w:rsid w:val="00724110"/>
    <w:rsid w:val="0073609B"/>
    <w:rsid w:val="00737EA3"/>
    <w:rsid w:val="00737EF4"/>
    <w:rsid w:val="00742419"/>
    <w:rsid w:val="00742CCB"/>
    <w:rsid w:val="00743886"/>
    <w:rsid w:val="00744417"/>
    <w:rsid w:val="00747A23"/>
    <w:rsid w:val="00751C23"/>
    <w:rsid w:val="007547B5"/>
    <w:rsid w:val="00757A98"/>
    <w:rsid w:val="007608B9"/>
    <w:rsid w:val="00764665"/>
    <w:rsid w:val="00766298"/>
    <w:rsid w:val="0077389F"/>
    <w:rsid w:val="00773C77"/>
    <w:rsid w:val="007751D8"/>
    <w:rsid w:val="00777937"/>
    <w:rsid w:val="007807BB"/>
    <w:rsid w:val="0078144A"/>
    <w:rsid w:val="007829B3"/>
    <w:rsid w:val="00787E49"/>
    <w:rsid w:val="00790FE7"/>
    <w:rsid w:val="0079129F"/>
    <w:rsid w:val="00797F82"/>
    <w:rsid w:val="007A370A"/>
    <w:rsid w:val="007A6B43"/>
    <w:rsid w:val="007A79D0"/>
    <w:rsid w:val="007B02FB"/>
    <w:rsid w:val="007B17DF"/>
    <w:rsid w:val="007B3CB8"/>
    <w:rsid w:val="007B7407"/>
    <w:rsid w:val="007C2BC6"/>
    <w:rsid w:val="007C40FC"/>
    <w:rsid w:val="007C47F4"/>
    <w:rsid w:val="007C569B"/>
    <w:rsid w:val="007E1C75"/>
    <w:rsid w:val="007F208A"/>
    <w:rsid w:val="007F3C84"/>
    <w:rsid w:val="008023C6"/>
    <w:rsid w:val="0080371D"/>
    <w:rsid w:val="008049D4"/>
    <w:rsid w:val="00812866"/>
    <w:rsid w:val="0082117B"/>
    <w:rsid w:val="008212B0"/>
    <w:rsid w:val="00822C1A"/>
    <w:rsid w:val="0082595A"/>
    <w:rsid w:val="00831932"/>
    <w:rsid w:val="00832A5D"/>
    <w:rsid w:val="00833A78"/>
    <w:rsid w:val="00836935"/>
    <w:rsid w:val="008402CB"/>
    <w:rsid w:val="00842ECF"/>
    <w:rsid w:val="00845596"/>
    <w:rsid w:val="00850B72"/>
    <w:rsid w:val="0085130C"/>
    <w:rsid w:val="008625D9"/>
    <w:rsid w:val="00864468"/>
    <w:rsid w:val="00864638"/>
    <w:rsid w:val="00865F3D"/>
    <w:rsid w:val="0086696D"/>
    <w:rsid w:val="0087412E"/>
    <w:rsid w:val="00874783"/>
    <w:rsid w:val="008813C7"/>
    <w:rsid w:val="00881A5F"/>
    <w:rsid w:val="00882A0D"/>
    <w:rsid w:val="00891368"/>
    <w:rsid w:val="008A0C72"/>
    <w:rsid w:val="008A3C1D"/>
    <w:rsid w:val="008B01D5"/>
    <w:rsid w:val="008B05FC"/>
    <w:rsid w:val="008B2008"/>
    <w:rsid w:val="008B2F34"/>
    <w:rsid w:val="008B6F94"/>
    <w:rsid w:val="008C0220"/>
    <w:rsid w:val="008C4E9B"/>
    <w:rsid w:val="008D233A"/>
    <w:rsid w:val="008D33A9"/>
    <w:rsid w:val="008D5095"/>
    <w:rsid w:val="008D5506"/>
    <w:rsid w:val="008D7D3A"/>
    <w:rsid w:val="008E5C8B"/>
    <w:rsid w:val="008F3A69"/>
    <w:rsid w:val="008F3C02"/>
    <w:rsid w:val="008F3D97"/>
    <w:rsid w:val="008F484F"/>
    <w:rsid w:val="008F7AA9"/>
    <w:rsid w:val="0090096B"/>
    <w:rsid w:val="00906561"/>
    <w:rsid w:val="00907713"/>
    <w:rsid w:val="00916DF9"/>
    <w:rsid w:val="009220EF"/>
    <w:rsid w:val="00923FBE"/>
    <w:rsid w:val="00924717"/>
    <w:rsid w:val="0092515E"/>
    <w:rsid w:val="00926AFA"/>
    <w:rsid w:val="009319A8"/>
    <w:rsid w:val="00931C23"/>
    <w:rsid w:val="009358E0"/>
    <w:rsid w:val="00940053"/>
    <w:rsid w:val="00942FDD"/>
    <w:rsid w:val="0095044F"/>
    <w:rsid w:val="00951912"/>
    <w:rsid w:val="009522BC"/>
    <w:rsid w:val="0096280F"/>
    <w:rsid w:val="00963374"/>
    <w:rsid w:val="00981AEF"/>
    <w:rsid w:val="009842F7"/>
    <w:rsid w:val="0098446D"/>
    <w:rsid w:val="0098476D"/>
    <w:rsid w:val="009866B4"/>
    <w:rsid w:val="009A03C3"/>
    <w:rsid w:val="009A3531"/>
    <w:rsid w:val="009B0497"/>
    <w:rsid w:val="009B27E1"/>
    <w:rsid w:val="009B3279"/>
    <w:rsid w:val="009B60C1"/>
    <w:rsid w:val="009B7CBD"/>
    <w:rsid w:val="009C4D13"/>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4ADA"/>
    <w:rsid w:val="00A55C0F"/>
    <w:rsid w:val="00A55D29"/>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23CF"/>
    <w:rsid w:val="00AD3D07"/>
    <w:rsid w:val="00AD40B3"/>
    <w:rsid w:val="00AD4554"/>
    <w:rsid w:val="00AD53BB"/>
    <w:rsid w:val="00AE4388"/>
    <w:rsid w:val="00AE54E0"/>
    <w:rsid w:val="00AE557B"/>
    <w:rsid w:val="00AE7BF9"/>
    <w:rsid w:val="00AF05CB"/>
    <w:rsid w:val="00AF103D"/>
    <w:rsid w:val="00AF63ED"/>
    <w:rsid w:val="00B01495"/>
    <w:rsid w:val="00B02100"/>
    <w:rsid w:val="00B04223"/>
    <w:rsid w:val="00B0457E"/>
    <w:rsid w:val="00B05A0F"/>
    <w:rsid w:val="00B0636F"/>
    <w:rsid w:val="00B06F7E"/>
    <w:rsid w:val="00B11748"/>
    <w:rsid w:val="00B12BC7"/>
    <w:rsid w:val="00B2060C"/>
    <w:rsid w:val="00B213B9"/>
    <w:rsid w:val="00B25519"/>
    <w:rsid w:val="00B2678D"/>
    <w:rsid w:val="00B40F0C"/>
    <w:rsid w:val="00B46C1F"/>
    <w:rsid w:val="00B54B9E"/>
    <w:rsid w:val="00B556FF"/>
    <w:rsid w:val="00B56539"/>
    <w:rsid w:val="00B619C6"/>
    <w:rsid w:val="00B6330E"/>
    <w:rsid w:val="00B749B3"/>
    <w:rsid w:val="00B80F96"/>
    <w:rsid w:val="00B81006"/>
    <w:rsid w:val="00B82479"/>
    <w:rsid w:val="00B87B41"/>
    <w:rsid w:val="00B94C08"/>
    <w:rsid w:val="00B96BE9"/>
    <w:rsid w:val="00BA5575"/>
    <w:rsid w:val="00BA59F0"/>
    <w:rsid w:val="00BA7991"/>
    <w:rsid w:val="00BB1867"/>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4936"/>
    <w:rsid w:val="00BE7F54"/>
    <w:rsid w:val="00BF15D9"/>
    <w:rsid w:val="00C07BA9"/>
    <w:rsid w:val="00C1486C"/>
    <w:rsid w:val="00C15419"/>
    <w:rsid w:val="00C36B76"/>
    <w:rsid w:val="00C461C9"/>
    <w:rsid w:val="00C50CEA"/>
    <w:rsid w:val="00C511F0"/>
    <w:rsid w:val="00C54D50"/>
    <w:rsid w:val="00C5539D"/>
    <w:rsid w:val="00C626ED"/>
    <w:rsid w:val="00C66A7D"/>
    <w:rsid w:val="00C7051B"/>
    <w:rsid w:val="00C70C0F"/>
    <w:rsid w:val="00C740FA"/>
    <w:rsid w:val="00C74561"/>
    <w:rsid w:val="00C878E1"/>
    <w:rsid w:val="00C90072"/>
    <w:rsid w:val="00C90621"/>
    <w:rsid w:val="00C91E31"/>
    <w:rsid w:val="00C92077"/>
    <w:rsid w:val="00C934C8"/>
    <w:rsid w:val="00C9430F"/>
    <w:rsid w:val="00C97D83"/>
    <w:rsid w:val="00CA3A1B"/>
    <w:rsid w:val="00CA6678"/>
    <w:rsid w:val="00CA7D29"/>
    <w:rsid w:val="00CC09B9"/>
    <w:rsid w:val="00CC1394"/>
    <w:rsid w:val="00CC1F9A"/>
    <w:rsid w:val="00CC2C88"/>
    <w:rsid w:val="00CC3751"/>
    <w:rsid w:val="00CC464E"/>
    <w:rsid w:val="00CC726C"/>
    <w:rsid w:val="00CC7D9B"/>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4918"/>
    <w:rsid w:val="00D351E8"/>
    <w:rsid w:val="00D405E7"/>
    <w:rsid w:val="00D407FA"/>
    <w:rsid w:val="00D410B2"/>
    <w:rsid w:val="00D5104C"/>
    <w:rsid w:val="00D54BCC"/>
    <w:rsid w:val="00D555AC"/>
    <w:rsid w:val="00D5637B"/>
    <w:rsid w:val="00D56C21"/>
    <w:rsid w:val="00D630DE"/>
    <w:rsid w:val="00D6332A"/>
    <w:rsid w:val="00D64D5A"/>
    <w:rsid w:val="00D70CA0"/>
    <w:rsid w:val="00D72101"/>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0ABC"/>
    <w:rsid w:val="00DE1462"/>
    <w:rsid w:val="00DE1AD1"/>
    <w:rsid w:val="00DE1C79"/>
    <w:rsid w:val="00DE30A8"/>
    <w:rsid w:val="00DE428C"/>
    <w:rsid w:val="00DE5A0A"/>
    <w:rsid w:val="00DE6DEC"/>
    <w:rsid w:val="00E01241"/>
    <w:rsid w:val="00E06CD1"/>
    <w:rsid w:val="00E11B37"/>
    <w:rsid w:val="00E125A8"/>
    <w:rsid w:val="00E133E6"/>
    <w:rsid w:val="00E154B1"/>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4A8"/>
    <w:rsid w:val="00E737FD"/>
    <w:rsid w:val="00E8147E"/>
    <w:rsid w:val="00E859B7"/>
    <w:rsid w:val="00E9203E"/>
    <w:rsid w:val="00E92507"/>
    <w:rsid w:val="00EA067D"/>
    <w:rsid w:val="00EA14E6"/>
    <w:rsid w:val="00EA63C1"/>
    <w:rsid w:val="00EA70B1"/>
    <w:rsid w:val="00EA7DD7"/>
    <w:rsid w:val="00EB5741"/>
    <w:rsid w:val="00EB6A04"/>
    <w:rsid w:val="00EC56B3"/>
    <w:rsid w:val="00EC7D9A"/>
    <w:rsid w:val="00ED09B7"/>
    <w:rsid w:val="00ED1876"/>
    <w:rsid w:val="00ED56C8"/>
    <w:rsid w:val="00ED5FAD"/>
    <w:rsid w:val="00ED6251"/>
    <w:rsid w:val="00EE00F8"/>
    <w:rsid w:val="00EE240E"/>
    <w:rsid w:val="00EE490B"/>
    <w:rsid w:val="00EE4E48"/>
    <w:rsid w:val="00EE786B"/>
    <w:rsid w:val="00EF22F1"/>
    <w:rsid w:val="00EF6445"/>
    <w:rsid w:val="00F00B62"/>
    <w:rsid w:val="00F02B3C"/>
    <w:rsid w:val="00F04EAD"/>
    <w:rsid w:val="00F05059"/>
    <w:rsid w:val="00F06868"/>
    <w:rsid w:val="00F10DE4"/>
    <w:rsid w:val="00F11733"/>
    <w:rsid w:val="00F32FA0"/>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4730"/>
    <w:rsid w:val="00F86D72"/>
    <w:rsid w:val="00F87663"/>
    <w:rsid w:val="00F91C95"/>
    <w:rsid w:val="00F94610"/>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E73B7"/>
    <w:rsid w:val="00FF09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1924DA"/>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56601121">
      <w:bodyDiv w:val="1"/>
      <w:marLeft w:val="0"/>
      <w:marRight w:val="0"/>
      <w:marTop w:val="0"/>
      <w:marBottom w:val="0"/>
      <w:divBdr>
        <w:top w:val="none" w:sz="0" w:space="0" w:color="auto"/>
        <w:left w:val="none" w:sz="0" w:space="0" w:color="auto"/>
        <w:bottom w:val="none" w:sz="0" w:space="0" w:color="auto"/>
        <w:right w:val="none" w:sz="0" w:space="0" w:color="auto"/>
      </w:divBdr>
    </w:div>
    <w:div w:id="403112312">
      <w:bodyDiv w:val="1"/>
      <w:marLeft w:val="0"/>
      <w:marRight w:val="0"/>
      <w:marTop w:val="0"/>
      <w:marBottom w:val="0"/>
      <w:divBdr>
        <w:top w:val="none" w:sz="0" w:space="0" w:color="auto"/>
        <w:left w:val="none" w:sz="0" w:space="0" w:color="auto"/>
        <w:bottom w:val="none" w:sz="0" w:space="0" w:color="auto"/>
        <w:right w:val="none" w:sz="0" w:space="0" w:color="auto"/>
      </w:divBdr>
      <w:divsChild>
        <w:div w:id="1583029220">
          <w:marLeft w:val="1440"/>
          <w:marRight w:val="0"/>
          <w:marTop w:val="100"/>
          <w:marBottom w:val="100"/>
          <w:divBdr>
            <w:top w:val="none" w:sz="0" w:space="0" w:color="auto"/>
            <w:left w:val="none" w:sz="0" w:space="0" w:color="auto"/>
            <w:bottom w:val="none" w:sz="0" w:space="0" w:color="auto"/>
            <w:right w:val="none" w:sz="0" w:space="0" w:color="auto"/>
          </w:divBdr>
        </w:div>
        <w:div w:id="1693916835">
          <w:marLeft w:val="1440"/>
          <w:marRight w:val="0"/>
          <w:marTop w:val="100"/>
          <w:marBottom w:val="100"/>
          <w:divBdr>
            <w:top w:val="none" w:sz="0" w:space="0" w:color="auto"/>
            <w:left w:val="none" w:sz="0" w:space="0" w:color="auto"/>
            <w:bottom w:val="none" w:sz="0" w:space="0" w:color="auto"/>
            <w:right w:val="none" w:sz="0" w:space="0" w:color="auto"/>
          </w:divBdr>
        </w:div>
      </w:divsChild>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590788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74484779">
          <w:marLeft w:val="0"/>
          <w:marRight w:val="0"/>
          <w:marTop w:val="0"/>
          <w:marBottom w:val="0"/>
          <w:divBdr>
            <w:top w:val="none" w:sz="0" w:space="0" w:color="auto"/>
            <w:left w:val="none" w:sz="0" w:space="0" w:color="auto"/>
            <w:bottom w:val="single" w:sz="6" w:space="9" w:color="C8C8C8"/>
            <w:right w:val="none" w:sz="0" w:space="0" w:color="auto"/>
          </w:divBdr>
          <w:divsChild>
            <w:div w:id="11105179">
              <w:marLeft w:val="0"/>
              <w:marRight w:val="0"/>
              <w:marTop w:val="0"/>
              <w:marBottom w:val="0"/>
              <w:divBdr>
                <w:top w:val="none" w:sz="0" w:space="0" w:color="auto"/>
                <w:left w:val="none" w:sz="0" w:space="0" w:color="auto"/>
                <w:bottom w:val="none" w:sz="0" w:space="0" w:color="auto"/>
                <w:right w:val="none" w:sz="0" w:space="0" w:color="auto"/>
              </w:divBdr>
            </w:div>
            <w:div w:id="637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16206032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311756566">
          <w:marLeft w:val="0"/>
          <w:marRight w:val="0"/>
          <w:marTop w:val="0"/>
          <w:marBottom w:val="0"/>
          <w:divBdr>
            <w:top w:val="none" w:sz="0" w:space="0" w:color="auto"/>
            <w:left w:val="none" w:sz="0" w:space="0" w:color="auto"/>
            <w:bottom w:val="single" w:sz="6" w:space="9" w:color="C8C8C8"/>
            <w:right w:val="none" w:sz="0" w:space="0" w:color="auto"/>
          </w:divBdr>
          <w:divsChild>
            <w:div w:id="952715249">
              <w:marLeft w:val="0"/>
              <w:marRight w:val="0"/>
              <w:marTop w:val="0"/>
              <w:marBottom w:val="0"/>
              <w:divBdr>
                <w:top w:val="none" w:sz="0" w:space="0" w:color="auto"/>
                <w:left w:val="none" w:sz="0" w:space="0" w:color="auto"/>
                <w:bottom w:val="none" w:sz="0" w:space="0" w:color="auto"/>
                <w:right w:val="none" w:sz="0" w:space="0" w:color="auto"/>
              </w:divBdr>
            </w:div>
            <w:div w:id="19834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259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975723159">
          <w:marLeft w:val="0"/>
          <w:marRight w:val="0"/>
          <w:marTop w:val="0"/>
          <w:marBottom w:val="0"/>
          <w:divBdr>
            <w:top w:val="none" w:sz="0" w:space="0" w:color="auto"/>
            <w:left w:val="none" w:sz="0" w:space="0" w:color="auto"/>
            <w:bottom w:val="single" w:sz="6" w:space="9" w:color="C8C8C8"/>
            <w:right w:val="none" w:sz="0" w:space="0" w:color="auto"/>
          </w:divBdr>
          <w:divsChild>
            <w:div w:id="13870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F4E0-7537-4F57-B9B2-08BACCD0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2018-10-03T13:49:00Z</cp:lastPrinted>
  <dcterms:created xsi:type="dcterms:W3CDTF">2018-10-22T12:25:00Z</dcterms:created>
  <dcterms:modified xsi:type="dcterms:W3CDTF">2018-10-22T12:25:00Z</dcterms:modified>
</cp:coreProperties>
</file>