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4D" w:rsidRPr="009B2917" w:rsidRDefault="008D004D" w:rsidP="009B2917">
      <w:pPr>
        <w:pStyle w:val="BodyText"/>
        <w:ind w:left="3517"/>
        <w:rPr>
          <w:sz w:val="20"/>
          <w:szCs w:val="20"/>
        </w:rPr>
      </w:pPr>
    </w:p>
    <w:p w:rsidR="008D004D" w:rsidRPr="009B2917" w:rsidRDefault="008D004D" w:rsidP="009B2917">
      <w:pPr>
        <w:pStyle w:val="BodyText"/>
        <w:rPr>
          <w:sz w:val="20"/>
          <w:szCs w:val="20"/>
        </w:rPr>
      </w:pPr>
    </w:p>
    <w:p w:rsidR="008D004D" w:rsidRPr="009B2917" w:rsidRDefault="008D004D" w:rsidP="009B2917">
      <w:pPr>
        <w:pStyle w:val="BodyText"/>
        <w:rPr>
          <w:sz w:val="20"/>
          <w:szCs w:val="20"/>
        </w:rPr>
      </w:pPr>
    </w:p>
    <w:p w:rsidR="008D004D" w:rsidRPr="009B2917" w:rsidRDefault="009B2917" w:rsidP="009B2917">
      <w:pPr>
        <w:pStyle w:val="Heading1"/>
        <w:ind w:left="3310" w:right="3315" w:hanging="4"/>
        <w:jc w:val="left"/>
        <w:rPr>
          <w:sz w:val="20"/>
          <w:szCs w:val="20"/>
        </w:rPr>
      </w:pPr>
      <w:r w:rsidRPr="009B2917">
        <w:rPr>
          <w:sz w:val="20"/>
          <w:szCs w:val="20"/>
        </w:rPr>
        <w:t>NATIONAL ASSEMBLY QUESTION FOR WRITTEN REPLY</w:t>
      </w:r>
    </w:p>
    <w:p w:rsidR="008D004D" w:rsidRPr="009B2917" w:rsidRDefault="009B2917" w:rsidP="009B2917">
      <w:pPr>
        <w:ind w:left="2291" w:right="2303"/>
        <w:rPr>
          <w:b/>
          <w:sz w:val="20"/>
          <w:szCs w:val="20"/>
        </w:rPr>
      </w:pPr>
      <w:r w:rsidRPr="009B2917">
        <w:rPr>
          <w:b/>
          <w:sz w:val="20"/>
          <w:szCs w:val="20"/>
        </w:rPr>
        <w:t>DUE TO PARLIAMENT: FRIDAY, 17 DECEMBER 2021</w:t>
      </w:r>
    </w:p>
    <w:p w:rsidR="008D004D" w:rsidRPr="009B2917" w:rsidRDefault="008D004D" w:rsidP="009B2917">
      <w:pPr>
        <w:pStyle w:val="BodyText"/>
        <w:rPr>
          <w:b/>
          <w:sz w:val="20"/>
          <w:szCs w:val="20"/>
        </w:rPr>
      </w:pPr>
    </w:p>
    <w:p w:rsidR="008D004D" w:rsidRPr="009B2917" w:rsidRDefault="008D004D" w:rsidP="009B2917">
      <w:pPr>
        <w:pStyle w:val="BodyText"/>
        <w:rPr>
          <w:b/>
          <w:sz w:val="20"/>
          <w:szCs w:val="20"/>
        </w:rPr>
      </w:pPr>
    </w:p>
    <w:p w:rsidR="008D004D" w:rsidRPr="009B2917" w:rsidRDefault="009B2917" w:rsidP="009B2917">
      <w:pPr>
        <w:ind w:left="112"/>
        <w:rPr>
          <w:b/>
          <w:sz w:val="20"/>
          <w:szCs w:val="20"/>
        </w:rPr>
      </w:pPr>
      <w:r w:rsidRPr="009B2917">
        <w:rPr>
          <w:b/>
          <w:sz w:val="20"/>
          <w:szCs w:val="20"/>
        </w:rPr>
        <w:t xml:space="preserve">“2782. </w:t>
      </w:r>
      <w:proofErr w:type="spellStart"/>
      <w:r w:rsidRPr="009B2917">
        <w:rPr>
          <w:b/>
          <w:sz w:val="20"/>
          <w:szCs w:val="20"/>
        </w:rPr>
        <w:t>Mr</w:t>
      </w:r>
      <w:proofErr w:type="spellEnd"/>
      <w:r w:rsidRPr="009B2917">
        <w:rPr>
          <w:b/>
          <w:sz w:val="20"/>
          <w:szCs w:val="20"/>
        </w:rPr>
        <w:t xml:space="preserve"> D F </w:t>
      </w:r>
      <w:proofErr w:type="spellStart"/>
      <w:r w:rsidRPr="009B2917">
        <w:rPr>
          <w:b/>
          <w:sz w:val="20"/>
          <w:szCs w:val="20"/>
        </w:rPr>
        <w:t>Mthenjane</w:t>
      </w:r>
      <w:proofErr w:type="spellEnd"/>
      <w:r w:rsidRPr="009B2917">
        <w:rPr>
          <w:b/>
          <w:sz w:val="20"/>
          <w:szCs w:val="20"/>
        </w:rPr>
        <w:t xml:space="preserve"> (EFF) to ask the Minister of Small Business Development:</w:t>
      </w:r>
      <w:r>
        <w:rPr>
          <w:b/>
          <w:sz w:val="20"/>
          <w:szCs w:val="20"/>
        </w:rPr>
        <w:br/>
      </w:r>
    </w:p>
    <w:p w:rsidR="008D004D" w:rsidRPr="009B2917" w:rsidRDefault="009B2917" w:rsidP="009B2917">
      <w:pPr>
        <w:ind w:left="833" w:right="120"/>
        <w:rPr>
          <w:b/>
          <w:sz w:val="20"/>
          <w:szCs w:val="20"/>
        </w:rPr>
      </w:pPr>
      <w:r w:rsidRPr="009B2917">
        <w:rPr>
          <w:b/>
          <w:sz w:val="20"/>
          <w:szCs w:val="20"/>
        </w:rPr>
        <w:t>In</w:t>
      </w:r>
      <w:r w:rsidRPr="009B2917">
        <w:rPr>
          <w:b/>
          <w:spacing w:val="-9"/>
          <w:sz w:val="20"/>
          <w:szCs w:val="20"/>
        </w:rPr>
        <w:t xml:space="preserve"> </w:t>
      </w:r>
      <w:r w:rsidRPr="009B2917">
        <w:rPr>
          <w:b/>
          <w:sz w:val="20"/>
          <w:szCs w:val="20"/>
        </w:rPr>
        <w:t>light</w:t>
      </w:r>
      <w:r w:rsidRPr="009B2917">
        <w:rPr>
          <w:b/>
          <w:spacing w:val="-7"/>
          <w:sz w:val="20"/>
          <w:szCs w:val="20"/>
        </w:rPr>
        <w:t xml:space="preserve"> </w:t>
      </w:r>
      <w:r w:rsidRPr="009B2917">
        <w:rPr>
          <w:b/>
          <w:sz w:val="20"/>
          <w:szCs w:val="20"/>
        </w:rPr>
        <w:t>of</w:t>
      </w:r>
      <w:r w:rsidRPr="009B2917">
        <w:rPr>
          <w:b/>
          <w:spacing w:val="-7"/>
          <w:sz w:val="20"/>
          <w:szCs w:val="20"/>
        </w:rPr>
        <w:t xml:space="preserve"> </w:t>
      </w:r>
      <w:r w:rsidRPr="009B2917">
        <w:rPr>
          <w:b/>
          <w:sz w:val="20"/>
          <w:szCs w:val="20"/>
        </w:rPr>
        <w:t>the</w:t>
      </w:r>
      <w:r w:rsidRPr="009B2917">
        <w:rPr>
          <w:b/>
          <w:spacing w:val="-11"/>
          <w:sz w:val="20"/>
          <w:szCs w:val="20"/>
        </w:rPr>
        <w:t xml:space="preserve"> </w:t>
      </w:r>
      <w:r w:rsidRPr="009B2917">
        <w:rPr>
          <w:b/>
          <w:sz w:val="20"/>
          <w:szCs w:val="20"/>
        </w:rPr>
        <w:t>fact</w:t>
      </w:r>
      <w:r w:rsidRPr="009B2917">
        <w:rPr>
          <w:b/>
          <w:spacing w:val="-7"/>
          <w:sz w:val="20"/>
          <w:szCs w:val="20"/>
        </w:rPr>
        <w:t xml:space="preserve"> </w:t>
      </w:r>
      <w:r w:rsidRPr="009B2917">
        <w:rPr>
          <w:b/>
          <w:sz w:val="20"/>
          <w:szCs w:val="20"/>
        </w:rPr>
        <w:t>that</w:t>
      </w:r>
      <w:r w:rsidRPr="009B2917">
        <w:rPr>
          <w:b/>
          <w:spacing w:val="-8"/>
          <w:sz w:val="20"/>
          <w:szCs w:val="20"/>
        </w:rPr>
        <w:t xml:space="preserve"> </w:t>
      </w:r>
      <w:r w:rsidRPr="009B2917">
        <w:rPr>
          <w:b/>
          <w:sz w:val="20"/>
          <w:szCs w:val="20"/>
        </w:rPr>
        <w:t>the</w:t>
      </w:r>
      <w:r w:rsidRPr="009B2917">
        <w:rPr>
          <w:b/>
          <w:spacing w:val="-6"/>
          <w:sz w:val="20"/>
          <w:szCs w:val="20"/>
        </w:rPr>
        <w:t xml:space="preserve"> </w:t>
      </w:r>
      <w:r w:rsidRPr="009B2917">
        <w:rPr>
          <w:b/>
          <w:sz w:val="20"/>
          <w:szCs w:val="20"/>
        </w:rPr>
        <w:t>Small</w:t>
      </w:r>
      <w:r w:rsidRPr="009B2917">
        <w:rPr>
          <w:b/>
          <w:spacing w:val="-6"/>
          <w:sz w:val="20"/>
          <w:szCs w:val="20"/>
        </w:rPr>
        <w:t xml:space="preserve"> </w:t>
      </w:r>
      <w:r w:rsidRPr="009B2917">
        <w:rPr>
          <w:b/>
          <w:sz w:val="20"/>
          <w:szCs w:val="20"/>
        </w:rPr>
        <w:t>Enterprise</w:t>
      </w:r>
      <w:r w:rsidRPr="009B2917">
        <w:rPr>
          <w:b/>
          <w:spacing w:val="-6"/>
          <w:sz w:val="20"/>
          <w:szCs w:val="20"/>
        </w:rPr>
        <w:t xml:space="preserve"> </w:t>
      </w:r>
      <w:r w:rsidRPr="009B2917">
        <w:rPr>
          <w:b/>
          <w:sz w:val="20"/>
          <w:szCs w:val="20"/>
        </w:rPr>
        <w:t>Development</w:t>
      </w:r>
      <w:r w:rsidRPr="009B2917">
        <w:rPr>
          <w:b/>
          <w:spacing w:val="-3"/>
          <w:sz w:val="20"/>
          <w:szCs w:val="20"/>
        </w:rPr>
        <w:t xml:space="preserve"> </w:t>
      </w:r>
      <w:r w:rsidRPr="009B2917">
        <w:rPr>
          <w:b/>
          <w:sz w:val="20"/>
          <w:szCs w:val="20"/>
        </w:rPr>
        <w:t>Agency</w:t>
      </w:r>
      <w:r w:rsidRPr="009B2917">
        <w:rPr>
          <w:b/>
          <w:spacing w:val="-12"/>
          <w:sz w:val="20"/>
          <w:szCs w:val="20"/>
        </w:rPr>
        <w:t xml:space="preserve"> </w:t>
      </w:r>
      <w:r w:rsidRPr="009B2917">
        <w:rPr>
          <w:b/>
          <w:sz w:val="20"/>
          <w:szCs w:val="20"/>
        </w:rPr>
        <w:t>wants</w:t>
      </w:r>
      <w:r w:rsidRPr="009B2917">
        <w:rPr>
          <w:b/>
          <w:spacing w:val="-5"/>
          <w:sz w:val="20"/>
          <w:szCs w:val="20"/>
        </w:rPr>
        <w:t xml:space="preserve"> </w:t>
      </w:r>
      <w:r w:rsidRPr="009B2917">
        <w:rPr>
          <w:b/>
          <w:sz w:val="20"/>
          <w:szCs w:val="20"/>
        </w:rPr>
        <w:t>R221</w:t>
      </w:r>
      <w:proofErr w:type="gramStart"/>
      <w:r w:rsidRPr="009B2917">
        <w:rPr>
          <w:b/>
          <w:sz w:val="20"/>
          <w:szCs w:val="20"/>
        </w:rPr>
        <w:t>,4</w:t>
      </w:r>
      <w:proofErr w:type="gramEnd"/>
      <w:r w:rsidRPr="009B2917">
        <w:rPr>
          <w:b/>
          <w:spacing w:val="-8"/>
          <w:sz w:val="20"/>
          <w:szCs w:val="20"/>
        </w:rPr>
        <w:t xml:space="preserve"> </w:t>
      </w:r>
      <w:r w:rsidRPr="009B2917">
        <w:rPr>
          <w:b/>
          <w:sz w:val="20"/>
          <w:szCs w:val="20"/>
        </w:rPr>
        <w:t>million</w:t>
      </w:r>
      <w:r w:rsidRPr="009B2917">
        <w:rPr>
          <w:b/>
          <w:spacing w:val="-8"/>
          <w:sz w:val="20"/>
          <w:szCs w:val="20"/>
        </w:rPr>
        <w:t xml:space="preserve"> </w:t>
      </w:r>
      <w:r w:rsidRPr="009B2917">
        <w:rPr>
          <w:b/>
          <w:sz w:val="20"/>
          <w:szCs w:val="20"/>
        </w:rPr>
        <w:t xml:space="preserve">to be rolled over instead of the R217,5 million </w:t>
      </w:r>
      <w:proofErr w:type="spellStart"/>
      <w:r w:rsidRPr="009B2917">
        <w:rPr>
          <w:b/>
          <w:sz w:val="20"/>
          <w:szCs w:val="20"/>
        </w:rPr>
        <w:t>underspending</w:t>
      </w:r>
      <w:proofErr w:type="spellEnd"/>
      <w:r w:rsidRPr="009B2917">
        <w:rPr>
          <w:b/>
          <w:sz w:val="20"/>
          <w:szCs w:val="20"/>
        </w:rPr>
        <w:t>, what (a) explanation was given</w:t>
      </w:r>
      <w:r w:rsidRPr="009B2917">
        <w:rPr>
          <w:b/>
          <w:spacing w:val="-11"/>
          <w:sz w:val="20"/>
          <w:szCs w:val="20"/>
        </w:rPr>
        <w:t xml:space="preserve"> </w:t>
      </w:r>
      <w:r w:rsidRPr="009B2917">
        <w:rPr>
          <w:b/>
          <w:sz w:val="20"/>
          <w:szCs w:val="20"/>
        </w:rPr>
        <w:t>in</w:t>
      </w:r>
      <w:r w:rsidRPr="009B2917">
        <w:rPr>
          <w:b/>
          <w:spacing w:val="-9"/>
          <w:sz w:val="20"/>
          <w:szCs w:val="20"/>
        </w:rPr>
        <w:t xml:space="preserve"> </w:t>
      </w:r>
      <w:r w:rsidRPr="009B2917">
        <w:rPr>
          <w:b/>
          <w:sz w:val="20"/>
          <w:szCs w:val="20"/>
        </w:rPr>
        <w:t>this</w:t>
      </w:r>
      <w:r w:rsidRPr="009B2917">
        <w:rPr>
          <w:b/>
          <w:spacing w:val="-11"/>
          <w:sz w:val="20"/>
          <w:szCs w:val="20"/>
        </w:rPr>
        <w:t xml:space="preserve"> </w:t>
      </w:r>
      <w:r w:rsidRPr="009B2917">
        <w:rPr>
          <w:b/>
          <w:sz w:val="20"/>
          <w:szCs w:val="20"/>
        </w:rPr>
        <w:t>regard</w:t>
      </w:r>
      <w:r w:rsidRPr="009B2917">
        <w:rPr>
          <w:b/>
          <w:spacing w:val="-11"/>
          <w:sz w:val="20"/>
          <w:szCs w:val="20"/>
        </w:rPr>
        <w:t xml:space="preserve"> </w:t>
      </w:r>
      <w:r w:rsidRPr="009B2917">
        <w:rPr>
          <w:b/>
          <w:sz w:val="20"/>
          <w:szCs w:val="20"/>
        </w:rPr>
        <w:t>and</w:t>
      </w:r>
      <w:r w:rsidRPr="009B2917">
        <w:rPr>
          <w:b/>
          <w:spacing w:val="-12"/>
          <w:sz w:val="20"/>
          <w:szCs w:val="20"/>
        </w:rPr>
        <w:t xml:space="preserve"> </w:t>
      </w:r>
      <w:r w:rsidRPr="009B2917">
        <w:rPr>
          <w:b/>
          <w:sz w:val="20"/>
          <w:szCs w:val="20"/>
        </w:rPr>
        <w:t>(b)</w:t>
      </w:r>
      <w:r w:rsidRPr="009B2917">
        <w:rPr>
          <w:b/>
          <w:spacing w:val="-16"/>
          <w:sz w:val="20"/>
          <w:szCs w:val="20"/>
        </w:rPr>
        <w:t xml:space="preserve"> </w:t>
      </w:r>
      <w:r w:rsidRPr="009B2917">
        <w:rPr>
          <w:b/>
          <w:sz w:val="20"/>
          <w:szCs w:val="20"/>
        </w:rPr>
        <w:t>was</w:t>
      </w:r>
      <w:r w:rsidRPr="009B2917">
        <w:rPr>
          <w:b/>
          <w:spacing w:val="-10"/>
          <w:sz w:val="20"/>
          <w:szCs w:val="20"/>
        </w:rPr>
        <w:t xml:space="preserve"> </w:t>
      </w:r>
      <w:r w:rsidRPr="009B2917">
        <w:rPr>
          <w:b/>
          <w:sz w:val="20"/>
          <w:szCs w:val="20"/>
        </w:rPr>
        <w:t>the</w:t>
      </w:r>
      <w:r w:rsidRPr="009B2917">
        <w:rPr>
          <w:b/>
          <w:spacing w:val="-9"/>
          <w:sz w:val="20"/>
          <w:szCs w:val="20"/>
        </w:rPr>
        <w:t xml:space="preserve"> </w:t>
      </w:r>
      <w:r w:rsidRPr="009B2917">
        <w:rPr>
          <w:b/>
          <w:sz w:val="20"/>
          <w:szCs w:val="20"/>
        </w:rPr>
        <w:t>outcome</w:t>
      </w:r>
      <w:r w:rsidRPr="009B2917">
        <w:rPr>
          <w:b/>
          <w:spacing w:val="-9"/>
          <w:sz w:val="20"/>
          <w:szCs w:val="20"/>
        </w:rPr>
        <w:t xml:space="preserve"> </w:t>
      </w:r>
      <w:r w:rsidRPr="009B2917">
        <w:rPr>
          <w:b/>
          <w:sz w:val="20"/>
          <w:szCs w:val="20"/>
        </w:rPr>
        <w:t>of</w:t>
      </w:r>
      <w:r w:rsidRPr="009B2917">
        <w:rPr>
          <w:b/>
          <w:spacing w:val="-10"/>
          <w:sz w:val="20"/>
          <w:szCs w:val="20"/>
        </w:rPr>
        <w:t xml:space="preserve"> </w:t>
      </w:r>
      <w:r w:rsidRPr="009B2917">
        <w:rPr>
          <w:b/>
          <w:sz w:val="20"/>
          <w:szCs w:val="20"/>
        </w:rPr>
        <w:t>the</w:t>
      </w:r>
      <w:r w:rsidRPr="009B2917">
        <w:rPr>
          <w:b/>
          <w:spacing w:val="-12"/>
          <w:sz w:val="20"/>
          <w:szCs w:val="20"/>
        </w:rPr>
        <w:t xml:space="preserve"> </w:t>
      </w:r>
      <w:r w:rsidRPr="009B2917">
        <w:rPr>
          <w:b/>
          <w:sz w:val="20"/>
          <w:szCs w:val="20"/>
        </w:rPr>
        <w:t>request</w:t>
      </w:r>
      <w:r w:rsidRPr="009B2917">
        <w:rPr>
          <w:b/>
          <w:spacing w:val="-10"/>
          <w:sz w:val="20"/>
          <w:szCs w:val="20"/>
        </w:rPr>
        <w:t xml:space="preserve"> </w:t>
      </w:r>
      <w:r w:rsidRPr="009B2917">
        <w:rPr>
          <w:b/>
          <w:sz w:val="20"/>
          <w:szCs w:val="20"/>
        </w:rPr>
        <w:t>for</w:t>
      </w:r>
      <w:r w:rsidRPr="009B2917">
        <w:rPr>
          <w:b/>
          <w:spacing w:val="-11"/>
          <w:sz w:val="20"/>
          <w:szCs w:val="20"/>
        </w:rPr>
        <w:t xml:space="preserve"> </w:t>
      </w:r>
      <w:r w:rsidRPr="009B2917">
        <w:rPr>
          <w:b/>
          <w:sz w:val="20"/>
          <w:szCs w:val="20"/>
        </w:rPr>
        <w:t>unspent</w:t>
      </w:r>
      <w:r w:rsidRPr="009B2917">
        <w:rPr>
          <w:b/>
          <w:spacing w:val="-8"/>
          <w:sz w:val="20"/>
          <w:szCs w:val="20"/>
        </w:rPr>
        <w:t xml:space="preserve"> </w:t>
      </w:r>
      <w:r w:rsidRPr="009B2917">
        <w:rPr>
          <w:b/>
          <w:sz w:val="20"/>
          <w:szCs w:val="20"/>
        </w:rPr>
        <w:t>funds</w:t>
      </w:r>
      <w:r w:rsidRPr="009B2917">
        <w:rPr>
          <w:b/>
          <w:spacing w:val="-12"/>
          <w:sz w:val="20"/>
          <w:szCs w:val="20"/>
        </w:rPr>
        <w:t xml:space="preserve"> </w:t>
      </w:r>
      <w:r w:rsidRPr="009B2917">
        <w:rPr>
          <w:b/>
          <w:sz w:val="20"/>
          <w:szCs w:val="20"/>
        </w:rPr>
        <w:t>to</w:t>
      </w:r>
      <w:r w:rsidRPr="009B2917">
        <w:rPr>
          <w:b/>
          <w:spacing w:val="-12"/>
          <w:sz w:val="20"/>
          <w:szCs w:val="20"/>
        </w:rPr>
        <w:t xml:space="preserve"> </w:t>
      </w:r>
      <w:r w:rsidRPr="009B2917">
        <w:rPr>
          <w:b/>
          <w:sz w:val="20"/>
          <w:szCs w:val="20"/>
        </w:rPr>
        <w:t>be</w:t>
      </w:r>
      <w:r w:rsidRPr="009B2917">
        <w:rPr>
          <w:b/>
          <w:spacing w:val="-12"/>
          <w:sz w:val="20"/>
          <w:szCs w:val="20"/>
        </w:rPr>
        <w:t xml:space="preserve"> </w:t>
      </w:r>
      <w:r w:rsidRPr="009B2917">
        <w:rPr>
          <w:b/>
          <w:sz w:val="20"/>
          <w:szCs w:val="20"/>
        </w:rPr>
        <w:t>rolled over? NW3300E”</w:t>
      </w:r>
    </w:p>
    <w:p w:rsidR="008D004D" w:rsidRPr="009B2917" w:rsidRDefault="008D004D" w:rsidP="009B2917">
      <w:pPr>
        <w:pStyle w:val="BodyText"/>
        <w:rPr>
          <w:b/>
          <w:sz w:val="20"/>
          <w:szCs w:val="20"/>
        </w:rPr>
      </w:pPr>
    </w:p>
    <w:p w:rsidR="008D004D" w:rsidRPr="009B2917" w:rsidRDefault="009B2917" w:rsidP="009B2917">
      <w:pPr>
        <w:ind w:left="112"/>
        <w:rPr>
          <w:b/>
          <w:sz w:val="20"/>
          <w:szCs w:val="20"/>
        </w:rPr>
      </w:pPr>
      <w:r w:rsidRPr="009B2917">
        <w:rPr>
          <w:b/>
          <w:sz w:val="20"/>
          <w:szCs w:val="20"/>
        </w:rPr>
        <w:t>REPLY: I have been advised by the department as follows:</w:t>
      </w:r>
    </w:p>
    <w:p w:rsidR="008D004D" w:rsidRPr="009B2917" w:rsidRDefault="008D004D" w:rsidP="009B2917">
      <w:pPr>
        <w:pStyle w:val="BodyText"/>
        <w:rPr>
          <w:b/>
          <w:sz w:val="20"/>
          <w:szCs w:val="20"/>
        </w:rPr>
      </w:pPr>
    </w:p>
    <w:p w:rsidR="008D004D" w:rsidRPr="009B2917" w:rsidRDefault="008D004D" w:rsidP="009B2917">
      <w:pPr>
        <w:pStyle w:val="BodyText"/>
        <w:rPr>
          <w:b/>
          <w:sz w:val="20"/>
          <w:szCs w:val="20"/>
        </w:rPr>
      </w:pPr>
    </w:p>
    <w:p w:rsidR="008D004D" w:rsidRPr="009B2917" w:rsidRDefault="009B2917" w:rsidP="009B2917">
      <w:pPr>
        <w:pStyle w:val="BodyText"/>
        <w:ind w:left="112"/>
        <w:rPr>
          <w:sz w:val="20"/>
          <w:szCs w:val="20"/>
        </w:rPr>
      </w:pPr>
      <w:r w:rsidRPr="009B2917">
        <w:rPr>
          <w:sz w:val="20"/>
          <w:szCs w:val="20"/>
        </w:rPr>
        <w:t>The</w:t>
      </w:r>
      <w:r w:rsidRPr="009B2917">
        <w:rPr>
          <w:spacing w:val="-9"/>
          <w:sz w:val="20"/>
          <w:szCs w:val="20"/>
        </w:rPr>
        <w:t xml:space="preserve"> </w:t>
      </w:r>
      <w:proofErr w:type="spellStart"/>
      <w:r w:rsidRPr="009B2917">
        <w:rPr>
          <w:sz w:val="20"/>
          <w:szCs w:val="20"/>
        </w:rPr>
        <w:t>underspending</w:t>
      </w:r>
      <w:proofErr w:type="spellEnd"/>
      <w:r w:rsidRPr="009B2917">
        <w:rPr>
          <w:spacing w:val="-8"/>
          <w:sz w:val="20"/>
          <w:szCs w:val="20"/>
        </w:rPr>
        <w:t xml:space="preserve"> </w:t>
      </w:r>
      <w:r w:rsidRPr="009B2917">
        <w:rPr>
          <w:sz w:val="20"/>
          <w:szCs w:val="20"/>
        </w:rPr>
        <w:t>of</w:t>
      </w:r>
      <w:r w:rsidRPr="009B2917">
        <w:rPr>
          <w:spacing w:val="-8"/>
          <w:sz w:val="20"/>
          <w:szCs w:val="20"/>
        </w:rPr>
        <w:t xml:space="preserve"> </w:t>
      </w:r>
      <w:r w:rsidRPr="009B2917">
        <w:rPr>
          <w:sz w:val="20"/>
          <w:szCs w:val="20"/>
        </w:rPr>
        <w:t>R218</w:t>
      </w:r>
      <w:r w:rsidRPr="009B2917">
        <w:rPr>
          <w:spacing w:val="-9"/>
          <w:sz w:val="20"/>
          <w:szCs w:val="20"/>
        </w:rPr>
        <w:t xml:space="preserve"> </w:t>
      </w:r>
      <w:r w:rsidRPr="009B2917">
        <w:rPr>
          <w:sz w:val="20"/>
          <w:szCs w:val="20"/>
        </w:rPr>
        <w:t>million</w:t>
      </w:r>
      <w:r w:rsidRPr="009B2917">
        <w:rPr>
          <w:spacing w:val="-7"/>
          <w:sz w:val="20"/>
          <w:szCs w:val="20"/>
        </w:rPr>
        <w:t xml:space="preserve"> </w:t>
      </w:r>
      <w:r w:rsidRPr="009B2917">
        <w:rPr>
          <w:sz w:val="20"/>
          <w:szCs w:val="20"/>
        </w:rPr>
        <w:t>resulted</w:t>
      </w:r>
      <w:r w:rsidRPr="009B2917">
        <w:rPr>
          <w:spacing w:val="-11"/>
          <w:sz w:val="20"/>
          <w:szCs w:val="20"/>
        </w:rPr>
        <w:t xml:space="preserve"> </w:t>
      </w:r>
      <w:r w:rsidRPr="009B2917">
        <w:rPr>
          <w:sz w:val="20"/>
          <w:szCs w:val="20"/>
        </w:rPr>
        <w:t>from</w:t>
      </w:r>
      <w:r w:rsidRPr="009B2917">
        <w:rPr>
          <w:spacing w:val="-10"/>
          <w:sz w:val="20"/>
          <w:szCs w:val="20"/>
        </w:rPr>
        <w:t xml:space="preserve"> </w:t>
      </w:r>
      <w:r w:rsidRPr="009B2917">
        <w:rPr>
          <w:sz w:val="20"/>
          <w:szCs w:val="20"/>
        </w:rPr>
        <w:t>expenditure</w:t>
      </w:r>
      <w:r w:rsidRPr="009B2917">
        <w:rPr>
          <w:spacing w:val="-7"/>
          <w:sz w:val="20"/>
          <w:szCs w:val="20"/>
        </w:rPr>
        <w:t xml:space="preserve"> </w:t>
      </w:r>
      <w:r w:rsidRPr="009B2917">
        <w:rPr>
          <w:sz w:val="20"/>
          <w:szCs w:val="20"/>
        </w:rPr>
        <w:t>budget</w:t>
      </w:r>
      <w:r w:rsidRPr="009B2917">
        <w:rPr>
          <w:spacing w:val="-8"/>
          <w:sz w:val="20"/>
          <w:szCs w:val="20"/>
        </w:rPr>
        <w:t xml:space="preserve"> </w:t>
      </w:r>
      <w:r w:rsidRPr="009B2917">
        <w:rPr>
          <w:sz w:val="20"/>
          <w:szCs w:val="20"/>
        </w:rPr>
        <w:t>of</w:t>
      </w:r>
      <w:r w:rsidRPr="009B2917">
        <w:rPr>
          <w:spacing w:val="-8"/>
          <w:sz w:val="20"/>
          <w:szCs w:val="20"/>
        </w:rPr>
        <w:t xml:space="preserve"> </w:t>
      </w:r>
      <w:r w:rsidRPr="009B2917">
        <w:rPr>
          <w:sz w:val="20"/>
          <w:szCs w:val="20"/>
        </w:rPr>
        <w:t>R990</w:t>
      </w:r>
      <w:r w:rsidRPr="009B2917">
        <w:rPr>
          <w:spacing w:val="-9"/>
          <w:sz w:val="20"/>
          <w:szCs w:val="20"/>
        </w:rPr>
        <w:t xml:space="preserve"> </w:t>
      </w:r>
      <w:r w:rsidRPr="009B2917">
        <w:rPr>
          <w:sz w:val="20"/>
          <w:szCs w:val="20"/>
        </w:rPr>
        <w:t>million</w:t>
      </w:r>
      <w:r w:rsidRPr="009B2917">
        <w:rPr>
          <w:spacing w:val="-7"/>
          <w:sz w:val="20"/>
          <w:szCs w:val="20"/>
        </w:rPr>
        <w:t xml:space="preserve"> </w:t>
      </w:r>
      <w:r w:rsidRPr="009B2917">
        <w:rPr>
          <w:sz w:val="20"/>
          <w:szCs w:val="20"/>
        </w:rPr>
        <w:t>against</w:t>
      </w:r>
      <w:r w:rsidRPr="009B2917">
        <w:rPr>
          <w:spacing w:val="-10"/>
          <w:sz w:val="20"/>
          <w:szCs w:val="20"/>
        </w:rPr>
        <w:t xml:space="preserve"> </w:t>
      </w:r>
      <w:r w:rsidRPr="009B2917">
        <w:rPr>
          <w:sz w:val="20"/>
          <w:szCs w:val="20"/>
        </w:rPr>
        <w:t>the</w:t>
      </w:r>
      <w:r w:rsidRPr="009B2917">
        <w:rPr>
          <w:spacing w:val="-9"/>
          <w:sz w:val="20"/>
          <w:szCs w:val="20"/>
        </w:rPr>
        <w:t xml:space="preserve"> </w:t>
      </w:r>
      <w:r w:rsidRPr="009B2917">
        <w:rPr>
          <w:sz w:val="20"/>
          <w:szCs w:val="20"/>
        </w:rPr>
        <w:t>actual expenditure of R773 million and National Treasury approved the</w:t>
      </w:r>
      <w:r w:rsidRPr="009B2917">
        <w:rPr>
          <w:spacing w:val="-8"/>
          <w:sz w:val="20"/>
          <w:szCs w:val="20"/>
        </w:rPr>
        <w:t xml:space="preserve"> </w:t>
      </w:r>
      <w:r w:rsidRPr="009B2917">
        <w:rPr>
          <w:sz w:val="20"/>
          <w:szCs w:val="20"/>
        </w:rPr>
        <w:t>request.</w:t>
      </w:r>
    </w:p>
    <w:p w:rsidR="008D004D" w:rsidRPr="009B2917" w:rsidRDefault="008D004D" w:rsidP="009B2917">
      <w:pPr>
        <w:pStyle w:val="BodyText"/>
        <w:rPr>
          <w:sz w:val="20"/>
          <w:szCs w:val="20"/>
        </w:rPr>
      </w:pPr>
    </w:p>
    <w:p w:rsidR="008D004D" w:rsidRPr="009B2917" w:rsidRDefault="009B2917" w:rsidP="009B2917">
      <w:pPr>
        <w:pStyle w:val="ListParagraph"/>
        <w:numPr>
          <w:ilvl w:val="0"/>
          <w:numId w:val="1"/>
        </w:numPr>
        <w:tabs>
          <w:tab w:val="left" w:pos="834"/>
        </w:tabs>
        <w:rPr>
          <w:sz w:val="20"/>
          <w:szCs w:val="20"/>
        </w:rPr>
      </w:pPr>
      <w:r w:rsidRPr="009B2917">
        <w:rPr>
          <w:sz w:val="20"/>
          <w:szCs w:val="20"/>
        </w:rPr>
        <w:t>The R218 million was c</w:t>
      </w:r>
      <w:r w:rsidRPr="009B2917">
        <w:rPr>
          <w:sz w:val="20"/>
          <w:szCs w:val="20"/>
        </w:rPr>
        <w:t xml:space="preserve">ommitted at year-end. </w:t>
      </w:r>
      <w:proofErr w:type="spellStart"/>
      <w:r w:rsidRPr="009B2917">
        <w:rPr>
          <w:sz w:val="20"/>
          <w:szCs w:val="20"/>
        </w:rPr>
        <w:t>Seda</w:t>
      </w:r>
      <w:proofErr w:type="spellEnd"/>
      <w:r w:rsidRPr="009B2917">
        <w:rPr>
          <w:sz w:val="20"/>
          <w:szCs w:val="20"/>
        </w:rPr>
        <w:t xml:space="preserve"> submitted the motivation to the National Treasury to retain these surplus funds. The explanation provided was based on the calculation that informed the surplus. The formula to calculate the surplus is based on the available cash</w:t>
      </w:r>
      <w:r w:rsidRPr="009B2917">
        <w:rPr>
          <w:sz w:val="20"/>
          <w:szCs w:val="20"/>
        </w:rPr>
        <w:t xml:space="preserve"> (on</w:t>
      </w:r>
      <w:r w:rsidRPr="009B2917">
        <w:rPr>
          <w:spacing w:val="-14"/>
          <w:sz w:val="20"/>
          <w:szCs w:val="20"/>
        </w:rPr>
        <w:t xml:space="preserve"> </w:t>
      </w:r>
      <w:r w:rsidRPr="009B2917">
        <w:rPr>
          <w:sz w:val="20"/>
          <w:szCs w:val="20"/>
        </w:rPr>
        <w:t>the</w:t>
      </w:r>
      <w:r w:rsidRPr="009B2917">
        <w:rPr>
          <w:spacing w:val="-13"/>
          <w:sz w:val="20"/>
          <w:szCs w:val="20"/>
        </w:rPr>
        <w:t xml:space="preserve"> </w:t>
      </w:r>
      <w:r w:rsidRPr="009B2917">
        <w:rPr>
          <w:sz w:val="20"/>
          <w:szCs w:val="20"/>
        </w:rPr>
        <w:t>bank</w:t>
      </w:r>
      <w:r w:rsidRPr="009B2917">
        <w:rPr>
          <w:spacing w:val="-12"/>
          <w:sz w:val="20"/>
          <w:szCs w:val="20"/>
        </w:rPr>
        <w:t xml:space="preserve"> </w:t>
      </w:r>
      <w:r w:rsidRPr="009B2917">
        <w:rPr>
          <w:sz w:val="20"/>
          <w:szCs w:val="20"/>
        </w:rPr>
        <w:t>accounts)</w:t>
      </w:r>
      <w:r w:rsidRPr="009B2917">
        <w:rPr>
          <w:spacing w:val="-12"/>
          <w:sz w:val="20"/>
          <w:szCs w:val="20"/>
        </w:rPr>
        <w:t xml:space="preserve"> </w:t>
      </w:r>
      <w:r w:rsidRPr="009B2917">
        <w:rPr>
          <w:sz w:val="20"/>
          <w:szCs w:val="20"/>
        </w:rPr>
        <w:t>at</w:t>
      </w:r>
      <w:r w:rsidRPr="009B2917">
        <w:rPr>
          <w:spacing w:val="-14"/>
          <w:sz w:val="20"/>
          <w:szCs w:val="20"/>
        </w:rPr>
        <w:t xml:space="preserve"> </w:t>
      </w:r>
      <w:r w:rsidRPr="009B2917">
        <w:rPr>
          <w:sz w:val="20"/>
          <w:szCs w:val="20"/>
        </w:rPr>
        <w:t>year-end</w:t>
      </w:r>
      <w:r w:rsidRPr="009B2917">
        <w:rPr>
          <w:spacing w:val="-12"/>
          <w:sz w:val="20"/>
          <w:szCs w:val="20"/>
        </w:rPr>
        <w:t xml:space="preserve"> </w:t>
      </w:r>
      <w:r w:rsidRPr="009B2917">
        <w:rPr>
          <w:sz w:val="20"/>
          <w:szCs w:val="20"/>
        </w:rPr>
        <w:t>together</w:t>
      </w:r>
      <w:r w:rsidRPr="009B2917">
        <w:rPr>
          <w:spacing w:val="-12"/>
          <w:sz w:val="20"/>
          <w:szCs w:val="20"/>
        </w:rPr>
        <w:t xml:space="preserve"> </w:t>
      </w:r>
      <w:r w:rsidRPr="009B2917">
        <w:rPr>
          <w:sz w:val="20"/>
          <w:szCs w:val="20"/>
        </w:rPr>
        <w:t>with</w:t>
      </w:r>
      <w:r w:rsidRPr="009B2917">
        <w:rPr>
          <w:spacing w:val="-12"/>
          <w:sz w:val="20"/>
          <w:szCs w:val="20"/>
        </w:rPr>
        <w:t xml:space="preserve"> </w:t>
      </w:r>
      <w:r w:rsidRPr="009B2917">
        <w:rPr>
          <w:sz w:val="20"/>
          <w:szCs w:val="20"/>
        </w:rPr>
        <w:t>the</w:t>
      </w:r>
      <w:r w:rsidRPr="009B2917">
        <w:rPr>
          <w:spacing w:val="-13"/>
          <w:sz w:val="20"/>
          <w:szCs w:val="20"/>
        </w:rPr>
        <w:t xml:space="preserve"> </w:t>
      </w:r>
      <w:r w:rsidRPr="009B2917">
        <w:rPr>
          <w:sz w:val="20"/>
          <w:szCs w:val="20"/>
        </w:rPr>
        <w:t>amount</w:t>
      </w:r>
      <w:r w:rsidRPr="009B2917">
        <w:rPr>
          <w:spacing w:val="-12"/>
          <w:sz w:val="20"/>
          <w:szCs w:val="20"/>
        </w:rPr>
        <w:t xml:space="preserve"> </w:t>
      </w:r>
      <w:r w:rsidRPr="009B2917">
        <w:rPr>
          <w:sz w:val="20"/>
          <w:szCs w:val="20"/>
        </w:rPr>
        <w:t>due</w:t>
      </w:r>
      <w:r w:rsidRPr="009B2917">
        <w:rPr>
          <w:spacing w:val="-15"/>
          <w:sz w:val="20"/>
          <w:szCs w:val="20"/>
        </w:rPr>
        <w:t xml:space="preserve"> </w:t>
      </w:r>
      <w:r w:rsidRPr="009B2917">
        <w:rPr>
          <w:sz w:val="20"/>
          <w:szCs w:val="20"/>
        </w:rPr>
        <w:t>to</w:t>
      </w:r>
      <w:r w:rsidRPr="009B2917">
        <w:rPr>
          <w:spacing w:val="-12"/>
          <w:sz w:val="20"/>
          <w:szCs w:val="20"/>
        </w:rPr>
        <w:t xml:space="preserve"> </w:t>
      </w:r>
      <w:proofErr w:type="spellStart"/>
      <w:r w:rsidRPr="009B2917">
        <w:rPr>
          <w:sz w:val="20"/>
          <w:szCs w:val="20"/>
        </w:rPr>
        <w:t>Seda</w:t>
      </w:r>
      <w:proofErr w:type="spellEnd"/>
      <w:r w:rsidRPr="009B2917">
        <w:rPr>
          <w:spacing w:val="-15"/>
          <w:sz w:val="20"/>
          <w:szCs w:val="20"/>
        </w:rPr>
        <w:t xml:space="preserve"> </w:t>
      </w:r>
      <w:r w:rsidRPr="009B2917">
        <w:rPr>
          <w:sz w:val="20"/>
          <w:szCs w:val="20"/>
        </w:rPr>
        <w:t>(account</w:t>
      </w:r>
      <w:r w:rsidRPr="009B2917">
        <w:rPr>
          <w:spacing w:val="-12"/>
          <w:sz w:val="20"/>
          <w:szCs w:val="20"/>
        </w:rPr>
        <w:t xml:space="preserve"> </w:t>
      </w:r>
      <w:r w:rsidRPr="009B2917">
        <w:rPr>
          <w:sz w:val="20"/>
          <w:szCs w:val="20"/>
        </w:rPr>
        <w:t xml:space="preserve">receivables), less the amount owed by </w:t>
      </w:r>
      <w:proofErr w:type="spellStart"/>
      <w:r w:rsidRPr="009B2917">
        <w:rPr>
          <w:sz w:val="20"/>
          <w:szCs w:val="20"/>
        </w:rPr>
        <w:t>Seda</w:t>
      </w:r>
      <w:proofErr w:type="spellEnd"/>
      <w:r w:rsidRPr="009B2917">
        <w:rPr>
          <w:sz w:val="20"/>
          <w:szCs w:val="20"/>
        </w:rPr>
        <w:t xml:space="preserve"> to suppliers (account payables) and lastly less commitments already</w:t>
      </w:r>
      <w:r w:rsidRPr="009B2917">
        <w:rPr>
          <w:spacing w:val="-2"/>
          <w:sz w:val="20"/>
          <w:szCs w:val="20"/>
        </w:rPr>
        <w:t xml:space="preserve"> </w:t>
      </w:r>
      <w:r w:rsidRPr="009B2917">
        <w:rPr>
          <w:sz w:val="20"/>
          <w:szCs w:val="20"/>
        </w:rPr>
        <w:t>made.</w:t>
      </w:r>
    </w:p>
    <w:p w:rsidR="008D004D" w:rsidRPr="009B2917" w:rsidRDefault="009B2917" w:rsidP="009B2917">
      <w:pPr>
        <w:pStyle w:val="ListParagraph"/>
        <w:numPr>
          <w:ilvl w:val="0"/>
          <w:numId w:val="1"/>
        </w:numPr>
        <w:tabs>
          <w:tab w:val="left" w:pos="834"/>
        </w:tabs>
        <w:ind w:right="124"/>
        <w:rPr>
          <w:sz w:val="20"/>
          <w:szCs w:val="20"/>
        </w:rPr>
      </w:pPr>
      <w:r w:rsidRPr="009B2917">
        <w:rPr>
          <w:sz w:val="20"/>
          <w:szCs w:val="20"/>
        </w:rPr>
        <w:t xml:space="preserve">The National Treasury approved </w:t>
      </w:r>
      <w:proofErr w:type="spellStart"/>
      <w:r w:rsidRPr="009B2917">
        <w:rPr>
          <w:sz w:val="20"/>
          <w:szCs w:val="20"/>
        </w:rPr>
        <w:t>Seda’s</w:t>
      </w:r>
      <w:proofErr w:type="spellEnd"/>
      <w:r w:rsidRPr="009B2917">
        <w:rPr>
          <w:sz w:val="20"/>
          <w:szCs w:val="20"/>
        </w:rPr>
        <w:t xml:space="preserve"> request, an amount of R294 million is available to be added on the expenditure budget of</w:t>
      </w:r>
      <w:r w:rsidRPr="009B2917">
        <w:rPr>
          <w:spacing w:val="-2"/>
          <w:sz w:val="20"/>
          <w:szCs w:val="20"/>
        </w:rPr>
        <w:t xml:space="preserve"> </w:t>
      </w:r>
      <w:r w:rsidRPr="009B2917">
        <w:rPr>
          <w:sz w:val="20"/>
          <w:szCs w:val="20"/>
        </w:rPr>
        <w:t>2021/22.</w:t>
      </w:r>
    </w:p>
    <w:p w:rsidR="008D004D" w:rsidRPr="009B2917" w:rsidRDefault="008D004D" w:rsidP="009B2917">
      <w:pPr>
        <w:pStyle w:val="BodyText"/>
        <w:rPr>
          <w:sz w:val="20"/>
          <w:szCs w:val="20"/>
        </w:rPr>
      </w:pPr>
    </w:p>
    <w:p w:rsidR="008D004D" w:rsidRPr="009B2917" w:rsidRDefault="008D004D" w:rsidP="009B2917">
      <w:pPr>
        <w:pStyle w:val="BodyText"/>
        <w:rPr>
          <w:sz w:val="20"/>
          <w:szCs w:val="20"/>
        </w:rPr>
      </w:pPr>
    </w:p>
    <w:p w:rsidR="008D004D" w:rsidRPr="009B2917" w:rsidRDefault="008D004D" w:rsidP="009B2917">
      <w:pPr>
        <w:pStyle w:val="BodyText"/>
        <w:rPr>
          <w:sz w:val="20"/>
          <w:szCs w:val="20"/>
        </w:rPr>
      </w:pPr>
    </w:p>
    <w:p w:rsidR="008D004D" w:rsidRPr="009B2917" w:rsidRDefault="008D004D" w:rsidP="009B2917">
      <w:pPr>
        <w:pStyle w:val="BodyText"/>
        <w:rPr>
          <w:sz w:val="20"/>
          <w:szCs w:val="20"/>
        </w:rPr>
      </w:pPr>
    </w:p>
    <w:p w:rsidR="008D004D" w:rsidRPr="009B2917" w:rsidRDefault="008D004D" w:rsidP="009B2917">
      <w:pPr>
        <w:pStyle w:val="BodyText"/>
        <w:rPr>
          <w:sz w:val="20"/>
          <w:szCs w:val="20"/>
        </w:rPr>
      </w:pPr>
    </w:p>
    <w:p w:rsidR="008D004D" w:rsidRPr="009B2917" w:rsidRDefault="009B2917" w:rsidP="009B2917">
      <w:pPr>
        <w:pStyle w:val="Heading1"/>
        <w:ind w:right="4858"/>
        <w:jc w:val="left"/>
        <w:rPr>
          <w:sz w:val="20"/>
          <w:szCs w:val="20"/>
        </w:rPr>
      </w:pPr>
      <w:r w:rsidRPr="009B2917">
        <w:rPr>
          <w:sz w:val="20"/>
          <w:szCs w:val="20"/>
        </w:rPr>
        <w:t>MS STELLA TEMBISA NDABENI-ABRAHAMS, MP MINISTER OF SMALL BUSINESS DEVELOPMENT</w:t>
      </w:r>
    </w:p>
    <w:p w:rsidR="008D004D" w:rsidRPr="009B2917" w:rsidRDefault="008D004D" w:rsidP="009B2917">
      <w:pPr>
        <w:pStyle w:val="BodyText"/>
        <w:rPr>
          <w:b/>
          <w:sz w:val="20"/>
          <w:szCs w:val="20"/>
        </w:rPr>
      </w:pPr>
    </w:p>
    <w:p w:rsidR="008D004D" w:rsidRPr="009B2917" w:rsidRDefault="008D004D" w:rsidP="009B2917">
      <w:pPr>
        <w:pStyle w:val="BodyText"/>
        <w:rPr>
          <w:b/>
          <w:sz w:val="20"/>
          <w:szCs w:val="20"/>
        </w:rPr>
      </w:pPr>
    </w:p>
    <w:p w:rsidR="008D004D" w:rsidRPr="009B2917" w:rsidRDefault="008D004D" w:rsidP="009B2917">
      <w:pPr>
        <w:pStyle w:val="BodyText"/>
        <w:rPr>
          <w:b/>
          <w:sz w:val="20"/>
          <w:szCs w:val="20"/>
        </w:rPr>
      </w:pPr>
    </w:p>
    <w:p w:rsidR="008D004D" w:rsidRPr="009B2917" w:rsidRDefault="008D004D" w:rsidP="009B2917">
      <w:pPr>
        <w:pStyle w:val="BodyText"/>
        <w:rPr>
          <w:b/>
          <w:sz w:val="20"/>
          <w:szCs w:val="20"/>
        </w:rPr>
      </w:pPr>
    </w:p>
    <w:p w:rsidR="008D004D" w:rsidRPr="009B2917" w:rsidRDefault="008D004D" w:rsidP="009B2917">
      <w:pPr>
        <w:pStyle w:val="BodyText"/>
        <w:rPr>
          <w:b/>
          <w:sz w:val="20"/>
          <w:szCs w:val="20"/>
        </w:rPr>
      </w:pPr>
    </w:p>
    <w:p w:rsidR="008D004D" w:rsidRPr="009B2917" w:rsidRDefault="009B2917" w:rsidP="009B2917">
      <w:pPr>
        <w:ind w:right="119"/>
        <w:rPr>
          <w:sz w:val="20"/>
          <w:szCs w:val="20"/>
        </w:rPr>
      </w:pPr>
      <w:r w:rsidRPr="009B2917">
        <w:rPr>
          <w:sz w:val="20"/>
          <w:szCs w:val="20"/>
        </w:rPr>
        <w:t>1</w:t>
      </w:r>
    </w:p>
    <w:p w:rsidR="008D004D" w:rsidRPr="009B2917" w:rsidRDefault="009B2917" w:rsidP="009B2917">
      <w:pPr>
        <w:ind w:left="112"/>
        <w:rPr>
          <w:sz w:val="20"/>
          <w:szCs w:val="20"/>
        </w:rPr>
      </w:pPr>
      <w:r w:rsidRPr="009B2917">
        <w:rPr>
          <w:sz w:val="20"/>
          <w:szCs w:val="20"/>
        </w:rPr>
        <w:t>DSBD response to NA2782–NW3300</w:t>
      </w:r>
      <w:r w:rsidRPr="009B2917">
        <w:rPr>
          <w:sz w:val="20"/>
          <w:szCs w:val="20"/>
        </w:rPr>
        <w:t>E</w:t>
      </w:r>
    </w:p>
    <w:sectPr w:rsidR="008D004D" w:rsidRPr="009B2917" w:rsidSect="008D004D">
      <w:type w:val="continuous"/>
      <w:pgSz w:w="12240" w:h="15840"/>
      <w:pgMar w:top="1220" w:right="1060" w:bottom="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272D0"/>
    <w:multiLevelType w:val="hybridMultilevel"/>
    <w:tmpl w:val="CE54F0D2"/>
    <w:lvl w:ilvl="0" w:tplc="445E2EB8">
      <w:start w:val="1"/>
      <w:numFmt w:val="lowerLetter"/>
      <w:lvlText w:val="%1)"/>
      <w:lvlJc w:val="left"/>
      <w:pPr>
        <w:ind w:left="833" w:hanging="721"/>
        <w:jc w:val="left"/>
      </w:pPr>
      <w:rPr>
        <w:rFonts w:ascii="Arial" w:eastAsia="Arial" w:hAnsi="Arial" w:cs="Arial" w:hint="default"/>
        <w:w w:val="100"/>
        <w:sz w:val="22"/>
        <w:szCs w:val="22"/>
        <w:lang w:val="en-US" w:eastAsia="en-US" w:bidi="en-US"/>
      </w:rPr>
    </w:lvl>
    <w:lvl w:ilvl="1" w:tplc="942258BA">
      <w:numFmt w:val="bullet"/>
      <w:lvlText w:val="•"/>
      <w:lvlJc w:val="left"/>
      <w:pPr>
        <w:ind w:left="1772" w:hanging="721"/>
      </w:pPr>
      <w:rPr>
        <w:rFonts w:hint="default"/>
        <w:lang w:val="en-US" w:eastAsia="en-US" w:bidi="en-US"/>
      </w:rPr>
    </w:lvl>
    <w:lvl w:ilvl="2" w:tplc="47CCCB02">
      <w:numFmt w:val="bullet"/>
      <w:lvlText w:val="•"/>
      <w:lvlJc w:val="left"/>
      <w:pPr>
        <w:ind w:left="2704" w:hanging="721"/>
      </w:pPr>
      <w:rPr>
        <w:rFonts w:hint="default"/>
        <w:lang w:val="en-US" w:eastAsia="en-US" w:bidi="en-US"/>
      </w:rPr>
    </w:lvl>
    <w:lvl w:ilvl="3" w:tplc="A7AA956C">
      <w:numFmt w:val="bullet"/>
      <w:lvlText w:val="•"/>
      <w:lvlJc w:val="left"/>
      <w:pPr>
        <w:ind w:left="3636" w:hanging="721"/>
      </w:pPr>
      <w:rPr>
        <w:rFonts w:hint="default"/>
        <w:lang w:val="en-US" w:eastAsia="en-US" w:bidi="en-US"/>
      </w:rPr>
    </w:lvl>
    <w:lvl w:ilvl="4" w:tplc="D888589C">
      <w:numFmt w:val="bullet"/>
      <w:lvlText w:val="•"/>
      <w:lvlJc w:val="left"/>
      <w:pPr>
        <w:ind w:left="4568" w:hanging="721"/>
      </w:pPr>
      <w:rPr>
        <w:rFonts w:hint="default"/>
        <w:lang w:val="en-US" w:eastAsia="en-US" w:bidi="en-US"/>
      </w:rPr>
    </w:lvl>
    <w:lvl w:ilvl="5" w:tplc="C060C13C">
      <w:numFmt w:val="bullet"/>
      <w:lvlText w:val="•"/>
      <w:lvlJc w:val="left"/>
      <w:pPr>
        <w:ind w:left="5500" w:hanging="721"/>
      </w:pPr>
      <w:rPr>
        <w:rFonts w:hint="default"/>
        <w:lang w:val="en-US" w:eastAsia="en-US" w:bidi="en-US"/>
      </w:rPr>
    </w:lvl>
    <w:lvl w:ilvl="6" w:tplc="BE147E70">
      <w:numFmt w:val="bullet"/>
      <w:lvlText w:val="•"/>
      <w:lvlJc w:val="left"/>
      <w:pPr>
        <w:ind w:left="6432" w:hanging="721"/>
      </w:pPr>
      <w:rPr>
        <w:rFonts w:hint="default"/>
        <w:lang w:val="en-US" w:eastAsia="en-US" w:bidi="en-US"/>
      </w:rPr>
    </w:lvl>
    <w:lvl w:ilvl="7" w:tplc="F078EE7E">
      <w:numFmt w:val="bullet"/>
      <w:lvlText w:val="•"/>
      <w:lvlJc w:val="left"/>
      <w:pPr>
        <w:ind w:left="7364" w:hanging="721"/>
      </w:pPr>
      <w:rPr>
        <w:rFonts w:hint="default"/>
        <w:lang w:val="en-US" w:eastAsia="en-US" w:bidi="en-US"/>
      </w:rPr>
    </w:lvl>
    <w:lvl w:ilvl="8" w:tplc="F9B4382E">
      <w:numFmt w:val="bullet"/>
      <w:lvlText w:val="•"/>
      <w:lvlJc w:val="left"/>
      <w:pPr>
        <w:ind w:left="8296" w:hanging="7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8D004D"/>
    <w:rsid w:val="008D004D"/>
    <w:rsid w:val="009B2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004D"/>
    <w:rPr>
      <w:rFonts w:ascii="Arial" w:eastAsia="Arial" w:hAnsi="Arial" w:cs="Arial"/>
      <w:lang w:bidi="en-US"/>
    </w:rPr>
  </w:style>
  <w:style w:type="paragraph" w:styleId="Heading1">
    <w:name w:val="heading 1"/>
    <w:basedOn w:val="Normal"/>
    <w:uiPriority w:val="1"/>
    <w:qFormat/>
    <w:rsid w:val="008D004D"/>
    <w:pPr>
      <w:ind w:left="11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004D"/>
  </w:style>
  <w:style w:type="paragraph" w:styleId="ListParagraph">
    <w:name w:val="List Paragraph"/>
    <w:basedOn w:val="Normal"/>
    <w:uiPriority w:val="1"/>
    <w:qFormat/>
    <w:rsid w:val="008D004D"/>
    <w:pPr>
      <w:ind w:left="833" w:right="117" w:hanging="721"/>
      <w:jc w:val="both"/>
    </w:pPr>
  </w:style>
  <w:style w:type="paragraph" w:customStyle="1" w:styleId="TableParagraph">
    <w:name w:val="Table Paragraph"/>
    <w:basedOn w:val="Normal"/>
    <w:uiPriority w:val="1"/>
    <w:qFormat/>
    <w:rsid w:val="008D004D"/>
  </w:style>
  <w:style w:type="paragraph" w:styleId="BalloonText">
    <w:name w:val="Balloon Text"/>
    <w:basedOn w:val="Normal"/>
    <w:link w:val="BalloonTextChar"/>
    <w:uiPriority w:val="99"/>
    <w:semiHidden/>
    <w:unhideWhenUsed/>
    <w:rsid w:val="009B2917"/>
    <w:rPr>
      <w:rFonts w:ascii="Tahoma" w:hAnsi="Tahoma" w:cs="Tahoma"/>
      <w:sz w:val="16"/>
      <w:szCs w:val="16"/>
    </w:rPr>
  </w:style>
  <w:style w:type="character" w:customStyle="1" w:styleId="BalloonTextChar">
    <w:name w:val="Balloon Text Char"/>
    <w:basedOn w:val="DefaultParagraphFont"/>
    <w:link w:val="BalloonText"/>
    <w:uiPriority w:val="99"/>
    <w:semiHidden/>
    <w:rsid w:val="009B2917"/>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User</cp:lastModifiedBy>
  <cp:revision>2</cp:revision>
  <dcterms:created xsi:type="dcterms:W3CDTF">2022-01-18T06:35:00Z</dcterms:created>
  <dcterms:modified xsi:type="dcterms:W3CDTF">2022-01-18T07:06:00Z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2021-12-19T00:00:00Z</vt:filetime>
  </property>
  <property fmtid="{D5CDD505-2E9C-101B-9397-08002B2CF9AE}" pid="3" name="Creator">
    <vt:lpwstr>Microsoft® Word 2016</vt:lpwstr>
  </property>
  <property fmtid="{D5CDD505-2E9C-101B-9397-08002B2CF9AE}" pid="4" name="LastSaved">
    <vt:filetime>2022-01-18T00:00:00Z</vt:filetime>
  </property>
</Properties>
</file>