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4C" w:rsidRPr="00A64319" w:rsidRDefault="00202B4C" w:rsidP="00202B4C">
      <w:pPr>
        <w:suppressAutoHyphens/>
        <w:spacing w:after="0" w:line="240" w:lineRule="auto"/>
        <w:jc w:val="center"/>
        <w:rPr>
          <w:rFonts w:cs="Arial"/>
          <w:b/>
          <w:sz w:val="32"/>
          <w:szCs w:val="32"/>
          <w:lang w:eastAsia="ar-SA"/>
        </w:rPr>
      </w:pPr>
      <w:r w:rsidRPr="00A64319">
        <w:rPr>
          <w:rFonts w:cs="Arial"/>
          <w:b/>
          <w:sz w:val="32"/>
          <w:szCs w:val="32"/>
          <w:lang w:eastAsia="ar-SA"/>
        </w:rPr>
        <w:t>NATIONAL ASSEMBLY</w:t>
      </w:r>
    </w:p>
    <w:p w:rsidR="00202B4C" w:rsidRDefault="00202B4C" w:rsidP="00202B4C">
      <w:pPr>
        <w:suppressAutoHyphens/>
        <w:spacing w:after="0" w:line="240" w:lineRule="auto"/>
        <w:jc w:val="both"/>
        <w:rPr>
          <w:rFonts w:cs="Arial"/>
          <w:b/>
          <w:sz w:val="32"/>
          <w:szCs w:val="32"/>
          <w:u w:val="single"/>
          <w:lang w:val="en-US" w:eastAsia="ar-SA"/>
        </w:rPr>
      </w:pPr>
    </w:p>
    <w:p w:rsidR="00202B4C" w:rsidRPr="00A64319" w:rsidRDefault="00202B4C" w:rsidP="00202B4C">
      <w:pPr>
        <w:suppressAutoHyphens/>
        <w:spacing w:after="0" w:line="240" w:lineRule="auto"/>
        <w:jc w:val="both"/>
        <w:rPr>
          <w:rFonts w:cs="Arial"/>
          <w:b/>
          <w:sz w:val="32"/>
          <w:szCs w:val="32"/>
          <w:lang w:val="en-US" w:eastAsia="ar-SA"/>
        </w:rPr>
      </w:pPr>
      <w:r w:rsidRPr="00A64319">
        <w:rPr>
          <w:rFonts w:cs="Arial"/>
          <w:b/>
          <w:sz w:val="32"/>
          <w:szCs w:val="32"/>
          <w:u w:val="single"/>
          <w:lang w:val="en-US" w:eastAsia="ar-SA"/>
        </w:rPr>
        <w:t>QUESTION NO. 2773</w:t>
      </w:r>
      <w:r w:rsidRPr="00A64319">
        <w:rPr>
          <w:rFonts w:cs="Arial"/>
          <w:b/>
          <w:sz w:val="32"/>
          <w:szCs w:val="32"/>
          <w:lang w:val="en-US" w:eastAsia="ar-SA"/>
        </w:rPr>
        <w:t xml:space="preserve"> – 2022</w:t>
      </w:r>
    </w:p>
    <w:p w:rsidR="00202B4C" w:rsidRPr="00A64319" w:rsidRDefault="00202B4C" w:rsidP="00202B4C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both"/>
        <w:outlineLvl w:val="3"/>
        <w:rPr>
          <w:rFonts w:cs="Arial"/>
          <w:b/>
          <w:sz w:val="32"/>
          <w:szCs w:val="32"/>
          <w:u w:val="single"/>
          <w:lang w:val="en-US" w:eastAsia="ar-SA"/>
        </w:rPr>
      </w:pPr>
      <w:r w:rsidRPr="00A64319">
        <w:rPr>
          <w:rFonts w:cs="Arial"/>
          <w:b/>
          <w:sz w:val="32"/>
          <w:szCs w:val="32"/>
          <w:u w:val="single"/>
          <w:lang w:val="en-US" w:eastAsia="ar-SA"/>
        </w:rPr>
        <w:t>FOR WRITTEN REPLY</w:t>
      </w:r>
    </w:p>
    <w:p w:rsidR="00202B4C" w:rsidRPr="00A64319" w:rsidRDefault="00202B4C" w:rsidP="00202B4C">
      <w:pPr>
        <w:suppressAutoHyphens/>
        <w:spacing w:after="0" w:line="240" w:lineRule="auto"/>
        <w:jc w:val="both"/>
        <w:rPr>
          <w:rFonts w:cs="Arial"/>
          <w:b/>
          <w:sz w:val="32"/>
          <w:szCs w:val="32"/>
          <w:lang w:val="en-US" w:eastAsia="ar-SA"/>
        </w:rPr>
      </w:pPr>
      <w:bookmarkStart w:id="0" w:name="_Hlk113352021"/>
      <w:r w:rsidRPr="00A64319">
        <w:rPr>
          <w:rFonts w:cs="Arial"/>
          <w:b/>
          <w:sz w:val="32"/>
          <w:szCs w:val="32"/>
          <w:lang w:val="en-US" w:eastAsia="ar-SA"/>
        </w:rPr>
        <w:t>DATE OF PUBLICATION: 2 September 2022: INTERNAL QUESTION PAPER NO.  29 - 2022)</w:t>
      </w:r>
    </w:p>
    <w:p w:rsidR="00202B4C" w:rsidRPr="00A64319" w:rsidRDefault="00202B4C" w:rsidP="00202B4C">
      <w:pPr>
        <w:spacing w:after="0" w:line="240" w:lineRule="auto"/>
        <w:ind w:left="720" w:hanging="720"/>
        <w:jc w:val="both"/>
        <w:outlineLvl w:val="0"/>
        <w:rPr>
          <w:rFonts w:cs="Arial"/>
          <w:b/>
          <w:sz w:val="32"/>
          <w:szCs w:val="32"/>
        </w:rPr>
      </w:pPr>
      <w:r w:rsidRPr="00A64319">
        <w:rPr>
          <w:rFonts w:cs="Arial"/>
          <w:b/>
          <w:sz w:val="32"/>
          <w:szCs w:val="32"/>
        </w:rPr>
        <w:t xml:space="preserve">Mr D Joseph (DA) to ask the Minister of Arts and Culture: </w:t>
      </w:r>
    </w:p>
    <w:p w:rsidR="00202B4C" w:rsidRPr="00A64319" w:rsidRDefault="00202B4C" w:rsidP="00202B4C">
      <w:pPr>
        <w:spacing w:after="0" w:line="240" w:lineRule="auto"/>
        <w:ind w:left="720" w:hanging="720"/>
        <w:jc w:val="both"/>
        <w:outlineLvl w:val="0"/>
        <w:rPr>
          <w:rFonts w:cs="Arial"/>
          <w:b/>
          <w:sz w:val="32"/>
          <w:szCs w:val="32"/>
        </w:rPr>
      </w:pPr>
    </w:p>
    <w:p w:rsidR="00202B4C" w:rsidRPr="00A64319" w:rsidRDefault="00202B4C" w:rsidP="00202B4C">
      <w:pPr>
        <w:spacing w:after="0" w:line="240" w:lineRule="auto"/>
        <w:ind w:left="567" w:right="26" w:hanging="567"/>
        <w:jc w:val="both"/>
        <w:outlineLvl w:val="0"/>
        <w:rPr>
          <w:rFonts w:cs="Arial"/>
          <w:sz w:val="32"/>
          <w:szCs w:val="32"/>
        </w:rPr>
      </w:pPr>
      <w:r w:rsidRPr="00A64319">
        <w:rPr>
          <w:rFonts w:cs="Arial"/>
          <w:sz w:val="32"/>
          <w:szCs w:val="32"/>
        </w:rPr>
        <w:t>(1)</w:t>
      </w:r>
      <w:r w:rsidRPr="00A64319">
        <w:rPr>
          <w:rFonts w:cs="Arial"/>
          <w:sz w:val="32"/>
          <w:szCs w:val="32"/>
        </w:rPr>
        <w:tab/>
        <w:t xml:space="preserve">Whether the whole geographical area of </w:t>
      </w:r>
      <w:proofErr w:type="spellStart"/>
      <w:r w:rsidRPr="00A64319">
        <w:rPr>
          <w:rFonts w:cs="Arial"/>
          <w:sz w:val="32"/>
          <w:szCs w:val="32"/>
        </w:rPr>
        <w:t>Langa</w:t>
      </w:r>
      <w:proofErr w:type="spellEnd"/>
      <w:r w:rsidRPr="00A64319">
        <w:rPr>
          <w:rFonts w:cs="Arial"/>
          <w:sz w:val="32"/>
          <w:szCs w:val="32"/>
        </w:rPr>
        <w:t xml:space="preserve"> in Cape Town has been declared a heritage area; if not, which parts and/or buildings have been declared as heritage; if so, what are the relevant details.</w:t>
      </w:r>
    </w:p>
    <w:p w:rsidR="00202B4C" w:rsidRPr="00A64319" w:rsidRDefault="00202B4C" w:rsidP="00202B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8" w:hanging="567"/>
        <w:jc w:val="both"/>
        <w:rPr>
          <w:rFonts w:cs="Arial"/>
          <w:b/>
          <w:bCs/>
          <w:sz w:val="32"/>
          <w:szCs w:val="32"/>
        </w:rPr>
      </w:pPr>
      <w:r w:rsidRPr="00A64319">
        <w:rPr>
          <w:rFonts w:cs="Arial"/>
          <w:sz w:val="32"/>
          <w:szCs w:val="32"/>
        </w:rPr>
        <w:t xml:space="preserve">(2) </w:t>
      </w:r>
      <w:r w:rsidRPr="00A64319">
        <w:rPr>
          <w:rFonts w:cs="Arial"/>
          <w:sz w:val="32"/>
          <w:szCs w:val="32"/>
        </w:rPr>
        <w:tab/>
        <w:t xml:space="preserve">whether, given the political history of the area, his department will consider declaring </w:t>
      </w:r>
      <w:proofErr w:type="spellStart"/>
      <w:r w:rsidRPr="00A64319">
        <w:rPr>
          <w:rFonts w:cs="Arial"/>
          <w:sz w:val="32"/>
          <w:szCs w:val="32"/>
        </w:rPr>
        <w:t>Langa</w:t>
      </w:r>
      <w:proofErr w:type="spellEnd"/>
      <w:r w:rsidRPr="00A64319">
        <w:rPr>
          <w:rFonts w:cs="Arial"/>
          <w:sz w:val="32"/>
          <w:szCs w:val="32"/>
        </w:rPr>
        <w:t xml:space="preserve"> or parts of </w:t>
      </w:r>
      <w:proofErr w:type="spellStart"/>
      <w:r w:rsidRPr="00A64319">
        <w:rPr>
          <w:rFonts w:cs="Arial"/>
          <w:sz w:val="32"/>
          <w:szCs w:val="32"/>
        </w:rPr>
        <w:t>Langa</w:t>
      </w:r>
      <w:proofErr w:type="spellEnd"/>
      <w:r w:rsidRPr="00A64319">
        <w:rPr>
          <w:rFonts w:cs="Arial"/>
          <w:sz w:val="32"/>
          <w:szCs w:val="32"/>
        </w:rPr>
        <w:t xml:space="preserve"> as heritage sites; if not, what is the position in this regard; if so, what are the process to be followed in order to make the declaration?</w:t>
      </w:r>
      <w:r w:rsidRPr="00A64319">
        <w:rPr>
          <w:rFonts w:cs="Arial"/>
          <w:sz w:val="32"/>
          <w:szCs w:val="32"/>
        </w:rPr>
        <w:tab/>
      </w:r>
      <w:r w:rsidRPr="00A64319">
        <w:rPr>
          <w:rFonts w:cs="Arial"/>
          <w:b/>
          <w:bCs/>
          <w:sz w:val="32"/>
          <w:szCs w:val="32"/>
        </w:rPr>
        <w:t>NW3360E</w:t>
      </w:r>
      <w:r w:rsidRPr="00A64319">
        <w:rPr>
          <w:rFonts w:cs="Arial"/>
          <w:sz w:val="32"/>
          <w:szCs w:val="32"/>
        </w:rPr>
        <w:tab/>
        <w:t xml:space="preserve">                                                        </w:t>
      </w:r>
    </w:p>
    <w:p w:rsidR="00202B4C" w:rsidRPr="00A64319" w:rsidRDefault="00202B4C" w:rsidP="00202B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8" w:hanging="567"/>
        <w:jc w:val="both"/>
        <w:rPr>
          <w:rFonts w:cs="Arial"/>
          <w:b/>
          <w:sz w:val="32"/>
          <w:szCs w:val="32"/>
        </w:rPr>
      </w:pPr>
    </w:p>
    <w:p w:rsidR="00202B4C" w:rsidRPr="00A64319" w:rsidRDefault="00202B4C" w:rsidP="00202B4C">
      <w:pPr>
        <w:tabs>
          <w:tab w:val="left" w:pos="375"/>
        </w:tabs>
        <w:spacing w:after="0" w:line="240" w:lineRule="auto"/>
        <w:outlineLvl w:val="0"/>
        <w:rPr>
          <w:rFonts w:cs="Arial"/>
          <w:b/>
          <w:sz w:val="32"/>
          <w:szCs w:val="32"/>
          <w:lang w:val="en-US" w:eastAsia="ar-SA"/>
        </w:rPr>
      </w:pPr>
      <w:r w:rsidRPr="00A64319">
        <w:rPr>
          <w:rFonts w:cs="Arial"/>
          <w:b/>
          <w:sz w:val="32"/>
          <w:szCs w:val="32"/>
          <w:lang w:val="en-US" w:eastAsia="ar-SA"/>
        </w:rPr>
        <w:t>REPLY:</w:t>
      </w:r>
    </w:p>
    <w:bookmarkEnd w:id="0"/>
    <w:p w:rsidR="00202B4C" w:rsidRPr="00A64319" w:rsidRDefault="00202B4C" w:rsidP="00202B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color w:val="000000" w:themeColor="text1"/>
          <w:sz w:val="32"/>
          <w:szCs w:val="32"/>
        </w:rPr>
      </w:pPr>
      <w:proofErr w:type="spellStart"/>
      <w:r w:rsidRPr="00A64319">
        <w:rPr>
          <w:rFonts w:cs="Arial"/>
          <w:color w:val="000000" w:themeColor="text1"/>
          <w:sz w:val="32"/>
          <w:szCs w:val="32"/>
        </w:rPr>
        <w:t>Langa</w:t>
      </w:r>
      <w:proofErr w:type="spellEnd"/>
      <w:r w:rsidRPr="00A64319">
        <w:rPr>
          <w:rFonts w:cs="Arial"/>
          <w:color w:val="000000" w:themeColor="text1"/>
          <w:sz w:val="32"/>
          <w:szCs w:val="32"/>
        </w:rPr>
        <w:t xml:space="preserve"> Township has been identified as an area of significance and has been given a Grade 1 status. However, the whole geographical area of </w:t>
      </w:r>
      <w:proofErr w:type="spellStart"/>
      <w:r w:rsidRPr="00A64319">
        <w:rPr>
          <w:rFonts w:cs="Arial"/>
          <w:color w:val="000000" w:themeColor="text1"/>
          <w:sz w:val="32"/>
          <w:szCs w:val="32"/>
        </w:rPr>
        <w:t>Langa</w:t>
      </w:r>
      <w:proofErr w:type="spellEnd"/>
      <w:r w:rsidRPr="00A64319">
        <w:rPr>
          <w:rFonts w:cs="Arial"/>
          <w:color w:val="000000" w:themeColor="text1"/>
          <w:sz w:val="32"/>
          <w:szCs w:val="32"/>
        </w:rPr>
        <w:t xml:space="preserve"> in Cape </w:t>
      </w:r>
      <w:proofErr w:type="gramStart"/>
      <w:r w:rsidRPr="00A64319">
        <w:rPr>
          <w:rFonts w:cs="Arial"/>
          <w:color w:val="000000" w:themeColor="text1"/>
          <w:sz w:val="32"/>
          <w:szCs w:val="32"/>
        </w:rPr>
        <w:t>town</w:t>
      </w:r>
      <w:proofErr w:type="gramEnd"/>
      <w:r w:rsidRPr="00A64319">
        <w:rPr>
          <w:rFonts w:cs="Arial"/>
          <w:color w:val="000000" w:themeColor="text1"/>
          <w:sz w:val="32"/>
          <w:szCs w:val="32"/>
        </w:rPr>
        <w:t xml:space="preserve"> has not been declared as a heritage area. The South African Heritage Resources Agency (SAHRA) has identified the following sites in </w:t>
      </w:r>
      <w:proofErr w:type="spellStart"/>
      <w:r w:rsidRPr="00A64319">
        <w:rPr>
          <w:rFonts w:cs="Arial"/>
          <w:color w:val="000000" w:themeColor="text1"/>
          <w:sz w:val="32"/>
          <w:szCs w:val="32"/>
        </w:rPr>
        <w:t>Langa</w:t>
      </w:r>
      <w:proofErr w:type="spellEnd"/>
      <w:r w:rsidRPr="00A64319">
        <w:rPr>
          <w:rFonts w:cs="Arial"/>
          <w:color w:val="000000" w:themeColor="text1"/>
          <w:sz w:val="32"/>
          <w:szCs w:val="32"/>
        </w:rPr>
        <w:t xml:space="preserve"> for future declaration:</w:t>
      </w:r>
    </w:p>
    <w:p w:rsidR="00202B4C" w:rsidRPr="00A64319" w:rsidRDefault="00202B4C" w:rsidP="00202B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 w:themeColor="text1"/>
          <w:sz w:val="32"/>
          <w:szCs w:val="32"/>
        </w:rPr>
      </w:pPr>
      <w:r w:rsidRPr="00A64319">
        <w:rPr>
          <w:rFonts w:eastAsia="Times New Roman" w:cs="Arial"/>
          <w:color w:val="000000" w:themeColor="text1"/>
          <w:sz w:val="32"/>
          <w:szCs w:val="32"/>
        </w:rPr>
        <w:t xml:space="preserve">Main Barracks </w:t>
      </w:r>
    </w:p>
    <w:p w:rsidR="00202B4C" w:rsidRPr="00A64319" w:rsidRDefault="00202B4C" w:rsidP="00202B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 w:themeColor="text1"/>
          <w:sz w:val="32"/>
          <w:szCs w:val="32"/>
        </w:rPr>
      </w:pPr>
      <w:r w:rsidRPr="00A64319">
        <w:rPr>
          <w:rFonts w:eastAsia="Times New Roman" w:cs="Arial"/>
          <w:color w:val="000000" w:themeColor="text1"/>
          <w:sz w:val="32"/>
          <w:szCs w:val="32"/>
        </w:rPr>
        <w:t>Kitchen Complex</w:t>
      </w:r>
    </w:p>
    <w:p w:rsidR="00202B4C" w:rsidRPr="00A64319" w:rsidRDefault="00202B4C" w:rsidP="00202B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 w:themeColor="text1"/>
          <w:sz w:val="32"/>
          <w:szCs w:val="32"/>
        </w:rPr>
      </w:pPr>
      <w:r w:rsidRPr="00A64319">
        <w:rPr>
          <w:rFonts w:eastAsia="Times New Roman" w:cs="Arial"/>
          <w:color w:val="000000" w:themeColor="text1"/>
          <w:sz w:val="32"/>
          <w:szCs w:val="32"/>
        </w:rPr>
        <w:t>Washington Drive</w:t>
      </w:r>
    </w:p>
    <w:p w:rsidR="00202B4C" w:rsidRPr="00A64319" w:rsidRDefault="00202B4C" w:rsidP="00202B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 w:themeColor="text1"/>
          <w:sz w:val="32"/>
          <w:szCs w:val="32"/>
        </w:rPr>
      </w:pPr>
      <w:r w:rsidRPr="00A64319">
        <w:rPr>
          <w:rFonts w:eastAsia="Times New Roman" w:cs="Arial"/>
          <w:color w:val="000000" w:themeColor="text1"/>
          <w:sz w:val="32"/>
          <w:szCs w:val="32"/>
        </w:rPr>
        <w:t>Migrant Passage (Old Pass Office)</w:t>
      </w:r>
    </w:p>
    <w:p w:rsidR="00202B4C" w:rsidRPr="00A64319" w:rsidRDefault="00202B4C" w:rsidP="00202B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 w:themeColor="text1"/>
          <w:sz w:val="32"/>
          <w:szCs w:val="32"/>
        </w:rPr>
      </w:pPr>
      <w:r w:rsidRPr="00A64319">
        <w:rPr>
          <w:rFonts w:eastAsia="Times New Roman" w:cs="Arial"/>
          <w:color w:val="000000" w:themeColor="text1"/>
          <w:sz w:val="32"/>
          <w:szCs w:val="32"/>
        </w:rPr>
        <w:t xml:space="preserve">Site Of Old Dipping Hut  </w:t>
      </w:r>
    </w:p>
    <w:p w:rsidR="00202B4C" w:rsidRPr="00A64319" w:rsidRDefault="00202B4C" w:rsidP="00202B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 w:themeColor="text1"/>
          <w:sz w:val="32"/>
          <w:szCs w:val="32"/>
        </w:rPr>
      </w:pPr>
      <w:r w:rsidRPr="00A64319">
        <w:rPr>
          <w:rFonts w:eastAsia="Times New Roman" w:cs="Arial"/>
          <w:color w:val="000000" w:themeColor="text1"/>
          <w:sz w:val="32"/>
          <w:szCs w:val="32"/>
        </w:rPr>
        <w:t>Old Police Station</w:t>
      </w:r>
    </w:p>
    <w:p w:rsidR="00202B4C" w:rsidRPr="00A64319" w:rsidRDefault="00202B4C" w:rsidP="00202B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 w:themeColor="text1"/>
          <w:sz w:val="32"/>
          <w:szCs w:val="32"/>
        </w:rPr>
      </w:pPr>
      <w:proofErr w:type="spellStart"/>
      <w:r w:rsidRPr="00A64319">
        <w:rPr>
          <w:rFonts w:eastAsia="Times New Roman" w:cs="Arial"/>
          <w:color w:val="000000" w:themeColor="text1"/>
          <w:sz w:val="32"/>
          <w:szCs w:val="32"/>
        </w:rPr>
        <w:t>Laborers</w:t>
      </w:r>
      <w:proofErr w:type="spellEnd"/>
      <w:r w:rsidRPr="00A64319">
        <w:rPr>
          <w:rFonts w:eastAsia="Times New Roman" w:cs="Arial"/>
          <w:color w:val="000000" w:themeColor="text1"/>
          <w:sz w:val="32"/>
          <w:szCs w:val="32"/>
        </w:rPr>
        <w:t xml:space="preserve"> Hostels </w:t>
      </w:r>
    </w:p>
    <w:p w:rsidR="00202B4C" w:rsidRPr="00A64319" w:rsidRDefault="00202B4C" w:rsidP="00202B4C">
      <w:pPr>
        <w:pStyle w:val="ListParagraph"/>
        <w:spacing w:after="0" w:line="240" w:lineRule="auto"/>
        <w:ind w:left="1080"/>
        <w:jc w:val="both"/>
        <w:rPr>
          <w:rFonts w:cs="Arial"/>
          <w:color w:val="000000" w:themeColor="text1"/>
          <w:sz w:val="32"/>
          <w:szCs w:val="32"/>
        </w:rPr>
      </w:pPr>
      <w:r w:rsidRPr="00A64319">
        <w:rPr>
          <w:rFonts w:cs="Arial"/>
          <w:b/>
          <w:bCs/>
          <w:color w:val="000000" w:themeColor="text1"/>
          <w:sz w:val="32"/>
          <w:szCs w:val="32"/>
        </w:rPr>
        <w:t> </w:t>
      </w:r>
    </w:p>
    <w:p w:rsidR="00202B4C" w:rsidRPr="00A64319" w:rsidRDefault="00202B4C" w:rsidP="00202B4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rial"/>
          <w:color w:val="000000" w:themeColor="text1"/>
          <w:sz w:val="32"/>
          <w:szCs w:val="32"/>
        </w:rPr>
      </w:pPr>
      <w:r w:rsidRPr="00A64319">
        <w:rPr>
          <w:rFonts w:cs="Arial"/>
          <w:color w:val="000000" w:themeColor="text1"/>
          <w:sz w:val="32"/>
          <w:szCs w:val="32"/>
        </w:rPr>
        <w:lastRenderedPageBreak/>
        <w:t xml:space="preserve">In accordance with section 27 subsection (3) of the National Heritage Resources Act 25 of 1999, any person may submit a nomination to SAHRA for a place to be declared a national heritage site or to the provincial heritage resources authority for a place to be declared a provincial heritage site. </w:t>
      </w:r>
    </w:p>
    <w:p w:rsidR="00202B4C" w:rsidRPr="00A64319" w:rsidRDefault="00202B4C" w:rsidP="00202B4C">
      <w:pPr>
        <w:pStyle w:val="DACBODYTEXT"/>
        <w:spacing w:line="240" w:lineRule="auto"/>
        <w:jc w:val="both"/>
        <w:rPr>
          <w:rFonts w:cs="Arial"/>
          <w:color w:val="000000" w:themeColor="text1"/>
          <w:sz w:val="32"/>
          <w:szCs w:val="32"/>
        </w:rPr>
      </w:pPr>
      <w:r w:rsidRPr="00A64319">
        <w:rPr>
          <w:rFonts w:cs="Arial"/>
          <w:color w:val="000000" w:themeColor="text1"/>
          <w:sz w:val="32"/>
          <w:szCs w:val="32"/>
        </w:rPr>
        <w:t xml:space="preserve">The heritage resources authority concerned may prescribe the format and procedures for such nominations. SAHRA considers </w:t>
      </w:r>
      <w:proofErr w:type="spellStart"/>
      <w:r w:rsidRPr="00A64319">
        <w:rPr>
          <w:rFonts w:cs="Arial"/>
          <w:color w:val="000000" w:themeColor="text1"/>
          <w:sz w:val="32"/>
          <w:szCs w:val="32"/>
        </w:rPr>
        <w:t>Langa</w:t>
      </w:r>
      <w:proofErr w:type="spellEnd"/>
      <w:r w:rsidRPr="00A64319">
        <w:rPr>
          <w:rFonts w:cs="Arial"/>
          <w:color w:val="000000" w:themeColor="text1"/>
          <w:sz w:val="32"/>
          <w:szCs w:val="32"/>
        </w:rPr>
        <w:t xml:space="preserve"> to be a highly significant area and will be looking to formalise the protection of the resources we have identified. We also encourage any members of the public to nominate any sites in </w:t>
      </w:r>
      <w:proofErr w:type="spellStart"/>
      <w:r w:rsidRPr="00A64319">
        <w:rPr>
          <w:rFonts w:cs="Arial"/>
          <w:color w:val="000000" w:themeColor="text1"/>
          <w:sz w:val="32"/>
          <w:szCs w:val="32"/>
        </w:rPr>
        <w:t>Langa</w:t>
      </w:r>
      <w:proofErr w:type="spellEnd"/>
      <w:r w:rsidRPr="00A64319">
        <w:rPr>
          <w:rFonts w:cs="Arial"/>
          <w:color w:val="000000" w:themeColor="text1"/>
          <w:sz w:val="32"/>
          <w:szCs w:val="32"/>
        </w:rPr>
        <w:t xml:space="preserve"> that they feel are significant.</w:t>
      </w:r>
    </w:p>
    <w:p w:rsidR="00202B4C" w:rsidRPr="00A64319" w:rsidRDefault="00202B4C" w:rsidP="00202B4C">
      <w:pPr>
        <w:pStyle w:val="DACBODYTEXT"/>
        <w:spacing w:line="240" w:lineRule="auto"/>
        <w:rPr>
          <w:rFonts w:cs="Arial"/>
          <w:color w:val="000000" w:themeColor="text1"/>
          <w:sz w:val="32"/>
          <w:szCs w:val="32"/>
        </w:rPr>
      </w:pPr>
    </w:p>
    <w:p w:rsidR="00202B4C" w:rsidRPr="00A64319" w:rsidRDefault="00202B4C" w:rsidP="00202B4C">
      <w:pPr>
        <w:pStyle w:val="DACBODYTEXT"/>
        <w:spacing w:line="240" w:lineRule="auto"/>
        <w:rPr>
          <w:rFonts w:cs="Arial"/>
          <w:color w:val="000000" w:themeColor="text1"/>
          <w:sz w:val="32"/>
          <w:szCs w:val="32"/>
        </w:rPr>
      </w:pPr>
    </w:p>
    <w:p w:rsidR="00202B4C" w:rsidRPr="00A64319" w:rsidRDefault="00202B4C" w:rsidP="00202B4C">
      <w:pPr>
        <w:pStyle w:val="DACBODYTEXT"/>
        <w:spacing w:line="240" w:lineRule="auto"/>
        <w:rPr>
          <w:rFonts w:cs="Arial"/>
          <w:color w:val="000000" w:themeColor="text1"/>
          <w:sz w:val="32"/>
          <w:szCs w:val="32"/>
        </w:rPr>
      </w:pPr>
    </w:p>
    <w:p w:rsidR="00202B4C" w:rsidRPr="00A64319" w:rsidRDefault="00202B4C" w:rsidP="00202B4C">
      <w:pPr>
        <w:pStyle w:val="DACBODYTEXT"/>
        <w:spacing w:line="240" w:lineRule="auto"/>
        <w:rPr>
          <w:rFonts w:cs="Arial"/>
          <w:color w:val="000000" w:themeColor="text1"/>
          <w:sz w:val="32"/>
          <w:szCs w:val="32"/>
        </w:rPr>
      </w:pPr>
    </w:p>
    <w:p w:rsidR="00202B4C" w:rsidRPr="00A64319" w:rsidRDefault="00202B4C" w:rsidP="00202B4C">
      <w:pPr>
        <w:pStyle w:val="DACBODYTEXT"/>
        <w:spacing w:line="240" w:lineRule="auto"/>
        <w:rPr>
          <w:rFonts w:cs="Arial"/>
          <w:color w:val="000000" w:themeColor="text1"/>
          <w:sz w:val="32"/>
          <w:szCs w:val="32"/>
        </w:rPr>
      </w:pPr>
    </w:p>
    <w:p w:rsidR="00202B4C" w:rsidRPr="00A64319" w:rsidRDefault="00202B4C" w:rsidP="00202B4C">
      <w:pPr>
        <w:pStyle w:val="DACBODYTEXT"/>
        <w:spacing w:line="240" w:lineRule="auto"/>
        <w:rPr>
          <w:rFonts w:cs="Arial"/>
          <w:color w:val="000000" w:themeColor="text1"/>
          <w:sz w:val="32"/>
          <w:szCs w:val="32"/>
        </w:rPr>
      </w:pPr>
    </w:p>
    <w:p w:rsidR="00202B4C" w:rsidRPr="00A64319" w:rsidRDefault="00202B4C" w:rsidP="00202B4C">
      <w:pPr>
        <w:pStyle w:val="DACBODYTEXT"/>
        <w:spacing w:line="240" w:lineRule="auto"/>
        <w:rPr>
          <w:rFonts w:cs="Arial"/>
          <w:color w:val="000000" w:themeColor="text1"/>
          <w:sz w:val="32"/>
          <w:szCs w:val="32"/>
        </w:rPr>
      </w:pPr>
    </w:p>
    <w:p w:rsidR="00202B4C" w:rsidRPr="00A64319" w:rsidRDefault="00202B4C" w:rsidP="00202B4C">
      <w:pPr>
        <w:pStyle w:val="DACBODYTEXT"/>
        <w:spacing w:line="240" w:lineRule="auto"/>
        <w:rPr>
          <w:rFonts w:cs="Arial"/>
          <w:color w:val="000000" w:themeColor="text1"/>
          <w:sz w:val="32"/>
          <w:szCs w:val="32"/>
        </w:rPr>
      </w:pPr>
    </w:p>
    <w:p w:rsidR="00202B4C" w:rsidRPr="00A64319" w:rsidRDefault="00202B4C" w:rsidP="00202B4C">
      <w:pPr>
        <w:pStyle w:val="DACBODYTEXT"/>
        <w:spacing w:line="240" w:lineRule="auto"/>
        <w:rPr>
          <w:rFonts w:cs="Arial"/>
          <w:color w:val="000000" w:themeColor="text1"/>
          <w:sz w:val="32"/>
          <w:szCs w:val="32"/>
        </w:rPr>
      </w:pPr>
    </w:p>
    <w:p w:rsidR="00202B4C" w:rsidRPr="00A64319" w:rsidRDefault="00202B4C" w:rsidP="00202B4C">
      <w:pPr>
        <w:pStyle w:val="DACBODYTEXT"/>
        <w:spacing w:line="240" w:lineRule="auto"/>
        <w:rPr>
          <w:rFonts w:cs="Arial"/>
          <w:color w:val="000000" w:themeColor="text1"/>
          <w:sz w:val="32"/>
          <w:szCs w:val="32"/>
        </w:rPr>
      </w:pPr>
    </w:p>
    <w:p w:rsidR="00202B4C" w:rsidRPr="00A64319" w:rsidRDefault="00202B4C" w:rsidP="00202B4C">
      <w:pPr>
        <w:pStyle w:val="DACBODYTEXT"/>
        <w:spacing w:line="240" w:lineRule="auto"/>
        <w:rPr>
          <w:rFonts w:cs="Arial"/>
          <w:color w:val="000000" w:themeColor="text1"/>
          <w:sz w:val="32"/>
          <w:szCs w:val="32"/>
        </w:rPr>
      </w:pPr>
    </w:p>
    <w:p w:rsidR="00202B4C" w:rsidRPr="00A64319" w:rsidRDefault="00202B4C" w:rsidP="00202B4C">
      <w:pPr>
        <w:pStyle w:val="DACBODYTEXT"/>
        <w:spacing w:line="240" w:lineRule="auto"/>
        <w:rPr>
          <w:rFonts w:cs="Arial"/>
          <w:color w:val="000000" w:themeColor="text1"/>
          <w:sz w:val="32"/>
          <w:szCs w:val="32"/>
        </w:rPr>
      </w:pPr>
    </w:p>
    <w:p w:rsidR="00202B4C" w:rsidRPr="00A64319" w:rsidRDefault="00202B4C" w:rsidP="00202B4C">
      <w:pPr>
        <w:pStyle w:val="DACBODYTEXT"/>
        <w:spacing w:line="240" w:lineRule="auto"/>
        <w:rPr>
          <w:rFonts w:cs="Arial"/>
          <w:color w:val="000000" w:themeColor="text1"/>
          <w:sz w:val="32"/>
          <w:szCs w:val="32"/>
        </w:rPr>
      </w:pPr>
    </w:p>
    <w:p w:rsidR="00202B4C" w:rsidRPr="00A64319" w:rsidRDefault="00202B4C" w:rsidP="00202B4C">
      <w:pPr>
        <w:pStyle w:val="DACBODYTEXT"/>
        <w:spacing w:line="240" w:lineRule="auto"/>
        <w:rPr>
          <w:rFonts w:cs="Arial"/>
          <w:color w:val="000000" w:themeColor="text1"/>
          <w:sz w:val="32"/>
          <w:szCs w:val="32"/>
        </w:rPr>
      </w:pPr>
    </w:p>
    <w:p w:rsidR="00202B4C" w:rsidRPr="00A64319" w:rsidRDefault="00202B4C" w:rsidP="00202B4C">
      <w:pPr>
        <w:pStyle w:val="DACBODYTEXT"/>
        <w:spacing w:line="240" w:lineRule="auto"/>
        <w:rPr>
          <w:rFonts w:cs="Arial"/>
          <w:color w:val="000000" w:themeColor="text1"/>
          <w:sz w:val="32"/>
          <w:szCs w:val="32"/>
        </w:rPr>
      </w:pPr>
    </w:p>
    <w:p w:rsidR="00202B4C" w:rsidRDefault="00202B4C" w:rsidP="00202B4C">
      <w:pPr>
        <w:pStyle w:val="DACBODYTEXT"/>
        <w:spacing w:line="240" w:lineRule="auto"/>
        <w:ind w:left="0"/>
        <w:rPr>
          <w:rFonts w:cs="Arial"/>
          <w:color w:val="000000" w:themeColor="text1"/>
          <w:sz w:val="32"/>
          <w:szCs w:val="32"/>
        </w:rPr>
      </w:pPr>
    </w:p>
    <w:p w:rsidR="00202B4C" w:rsidRPr="00A64319" w:rsidRDefault="00202B4C" w:rsidP="00202B4C">
      <w:pPr>
        <w:pStyle w:val="DACBODYTEXT"/>
        <w:spacing w:line="240" w:lineRule="auto"/>
        <w:ind w:left="0"/>
        <w:rPr>
          <w:rFonts w:cs="Arial"/>
          <w:color w:val="000000" w:themeColor="text1"/>
          <w:sz w:val="32"/>
          <w:szCs w:val="32"/>
        </w:rPr>
      </w:pPr>
    </w:p>
    <w:p w:rsidR="006A33F5" w:rsidRDefault="009C18A1">
      <w:bookmarkStart w:id="1" w:name="_GoBack"/>
      <w:bookmarkEnd w:id="1"/>
    </w:p>
    <w:sectPr w:rsidR="006A33F5" w:rsidSect="00137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80097"/>
    <w:multiLevelType w:val="hybridMultilevel"/>
    <w:tmpl w:val="96E67EA0"/>
    <w:lvl w:ilvl="0" w:tplc="5A9EB2B6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B71A2"/>
    <w:multiLevelType w:val="hybridMultilevel"/>
    <w:tmpl w:val="30DCBCCA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2B4C"/>
    <w:rsid w:val="00137702"/>
    <w:rsid w:val="00202B4C"/>
    <w:rsid w:val="009C18A1"/>
    <w:rsid w:val="00BE5DFB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202B4C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202B4C"/>
    <w:pPr>
      <w:ind w:left="993"/>
    </w:pPr>
    <w:rPr>
      <w:szCs w:val="18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202B4C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02B4C"/>
    <w:rPr>
      <w:rFonts w:ascii="Arial" w:hAnsi="Arial"/>
      <w:sz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2022-09-16T06:22:00Z</dcterms:created>
  <dcterms:modified xsi:type="dcterms:W3CDTF">2022-09-16T06:22:00Z</dcterms:modified>
</cp:coreProperties>
</file>