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952" w:rsidRPr="001B0917" w:rsidRDefault="00F05952"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NATIONAL ASSEMBLY</w:t>
      </w:r>
    </w:p>
    <w:p w:rsidR="00F05952" w:rsidRPr="001B0917" w:rsidRDefault="00F05952"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QUESTION FOR WRITTEN REPLY</w:t>
      </w:r>
    </w:p>
    <w:p w:rsidR="00F05952" w:rsidRPr="00052A56" w:rsidRDefault="00F05952"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QUESTION NUMBER</w:t>
      </w:r>
      <w:bookmarkStart w:id="0" w:name="_GoBack"/>
      <w:bookmarkEnd w:id="0"/>
      <w:r w:rsidRPr="001B0917">
        <w:rPr>
          <w:rFonts w:ascii="Arial" w:hAnsi="Arial" w:cs="Arial"/>
          <w:b/>
          <w:sz w:val="22"/>
          <w:szCs w:val="22"/>
        </w:rPr>
        <w:t xml:space="preserve">: </w:t>
      </w:r>
      <w:r w:rsidRPr="00052A56">
        <w:rPr>
          <w:rFonts w:ascii="Arial" w:hAnsi="Arial" w:cs="Arial"/>
          <w:b/>
          <w:sz w:val="22"/>
          <w:szCs w:val="22"/>
        </w:rPr>
        <w:t>2768 [NW3200E]</w:t>
      </w:r>
    </w:p>
    <w:p w:rsidR="00F05952" w:rsidRPr="00052A56" w:rsidRDefault="00F05952" w:rsidP="001B0917">
      <w:pPr>
        <w:tabs>
          <w:tab w:val="left" w:pos="432"/>
          <w:tab w:val="left" w:pos="864"/>
        </w:tabs>
        <w:spacing w:line="276" w:lineRule="auto"/>
        <w:jc w:val="center"/>
        <w:rPr>
          <w:rFonts w:ascii="Arial" w:hAnsi="Arial" w:cs="Arial"/>
          <w:b/>
          <w:sz w:val="22"/>
          <w:szCs w:val="22"/>
        </w:rPr>
      </w:pPr>
      <w:r w:rsidRPr="00052A56">
        <w:rPr>
          <w:rFonts w:ascii="Arial" w:hAnsi="Arial" w:cs="Arial"/>
          <w:b/>
          <w:sz w:val="22"/>
          <w:szCs w:val="22"/>
        </w:rPr>
        <w:t>DATE OF PUBLICATION: 31 JULY 2015</w:t>
      </w:r>
    </w:p>
    <w:p w:rsidR="00F05952" w:rsidRPr="00052A56" w:rsidRDefault="00F05952" w:rsidP="00052A56">
      <w:pPr>
        <w:spacing w:before="100" w:beforeAutospacing="1" w:after="100" w:afterAutospacing="1" w:line="276" w:lineRule="auto"/>
        <w:ind w:left="993" w:hanging="851"/>
        <w:jc w:val="both"/>
        <w:outlineLvl w:val="0"/>
        <w:rPr>
          <w:rFonts w:ascii="Arial" w:hAnsi="Arial" w:cs="Arial"/>
          <w:b/>
          <w:sz w:val="22"/>
          <w:szCs w:val="22"/>
          <w:lang w:val="en-GB"/>
        </w:rPr>
      </w:pPr>
      <w:r w:rsidRPr="00052A56">
        <w:rPr>
          <w:rFonts w:ascii="Arial" w:hAnsi="Arial" w:cs="Arial"/>
          <w:b/>
          <w:sz w:val="22"/>
          <w:szCs w:val="22"/>
          <w:lang w:val="en-GB"/>
        </w:rPr>
        <w:t>2768.</w:t>
      </w:r>
      <w:r w:rsidRPr="00052A56">
        <w:rPr>
          <w:rFonts w:ascii="Arial" w:hAnsi="Arial" w:cs="Arial"/>
          <w:b/>
          <w:sz w:val="22"/>
          <w:szCs w:val="22"/>
          <w:lang w:val="en-GB"/>
        </w:rPr>
        <w:tab/>
        <w:t>Mr M G P Lekota (Cope) to ask the Minister of Finance:</w:t>
      </w:r>
    </w:p>
    <w:p w:rsidR="00F05952" w:rsidRPr="00052A56" w:rsidRDefault="00F05952" w:rsidP="00052A56">
      <w:pPr>
        <w:spacing w:before="100" w:beforeAutospacing="1" w:after="100" w:afterAutospacing="1" w:line="276" w:lineRule="auto"/>
        <w:ind w:left="993"/>
        <w:jc w:val="both"/>
        <w:outlineLvl w:val="0"/>
        <w:rPr>
          <w:rFonts w:ascii="Arial" w:hAnsi="Arial" w:cs="Arial"/>
          <w:sz w:val="22"/>
          <w:szCs w:val="22"/>
          <w:lang w:val="en-GB"/>
        </w:rPr>
      </w:pPr>
      <w:r w:rsidRPr="00052A56">
        <w:rPr>
          <w:rFonts w:ascii="Arial" w:hAnsi="Arial" w:cs="Arial"/>
          <w:sz w:val="22"/>
          <w:szCs w:val="22"/>
          <w:lang w:val="en-GB"/>
        </w:rPr>
        <w:t>Whether National Treasury intends to undertake a countrywide road show to explain to citizens (a) what debt the Government was incurring in their name in order to fund its annual undertakings, (b) how it was proposing to manage and pay off the specified debt so that the country does not become another Greece or Puerto Rico in the next decade and in such specified process solicit the citizen’s support for incurring the specified debt so that they could not say, in the near future, that they knew nothing about such debt and therefore want no involvement in taking responsibility to pay off the specified debt and/or be subjected to severe austerity measures; if not, why not; if so, what are the relevant details</w:t>
      </w:r>
      <w:r w:rsidRPr="00052A56">
        <w:rPr>
          <w:rFonts w:ascii="Arial" w:hAnsi="Arial" w:cs="Arial"/>
          <w:sz w:val="22"/>
          <w:szCs w:val="22"/>
          <w:lang w:val="en-ZA"/>
        </w:rPr>
        <w:t>?</w:t>
      </w:r>
      <w:r w:rsidRPr="00052A56">
        <w:rPr>
          <w:rFonts w:ascii="Arial" w:hAnsi="Arial" w:cs="Arial"/>
          <w:sz w:val="22"/>
          <w:szCs w:val="22"/>
          <w:lang w:val="en-ZA"/>
        </w:rPr>
        <w:tab/>
      </w:r>
      <w:r w:rsidRPr="00052A56">
        <w:rPr>
          <w:rFonts w:ascii="Arial" w:hAnsi="Arial" w:cs="Arial"/>
          <w:sz w:val="22"/>
          <w:szCs w:val="22"/>
          <w:lang w:val="en-ZA"/>
        </w:rPr>
        <w:tab/>
      </w:r>
      <w:r w:rsidRPr="00052A56">
        <w:rPr>
          <w:rFonts w:ascii="Arial" w:hAnsi="Arial" w:cs="Arial"/>
          <w:sz w:val="22"/>
          <w:szCs w:val="22"/>
          <w:lang w:val="en-ZA"/>
        </w:rPr>
        <w:tab/>
      </w:r>
      <w:r w:rsidRPr="00052A56">
        <w:rPr>
          <w:rFonts w:ascii="Arial" w:hAnsi="Arial" w:cs="Arial"/>
          <w:sz w:val="22"/>
          <w:szCs w:val="22"/>
          <w:lang w:val="en-ZA"/>
        </w:rPr>
        <w:tab/>
      </w:r>
      <w:r w:rsidRPr="00052A56">
        <w:rPr>
          <w:rFonts w:ascii="Arial" w:hAnsi="Arial" w:cs="Arial"/>
          <w:sz w:val="22"/>
          <w:szCs w:val="22"/>
          <w:lang w:val="en-ZA"/>
        </w:rPr>
        <w:tab/>
      </w:r>
      <w:r w:rsidRPr="00052A56">
        <w:rPr>
          <w:rFonts w:ascii="Arial" w:hAnsi="Arial" w:cs="Arial"/>
          <w:sz w:val="22"/>
          <w:szCs w:val="22"/>
          <w:lang w:val="en-ZA"/>
        </w:rPr>
        <w:tab/>
      </w:r>
      <w:r w:rsidRPr="00052A56">
        <w:rPr>
          <w:rFonts w:ascii="Arial" w:hAnsi="Arial" w:cs="Arial"/>
          <w:sz w:val="22"/>
          <w:szCs w:val="22"/>
          <w:lang w:val="en-ZA"/>
        </w:rPr>
        <w:tab/>
      </w:r>
      <w:r>
        <w:rPr>
          <w:rFonts w:ascii="Arial" w:hAnsi="Arial" w:cs="Arial"/>
          <w:sz w:val="22"/>
          <w:szCs w:val="22"/>
          <w:lang w:val="en-ZA"/>
        </w:rPr>
        <w:tab/>
      </w:r>
      <w:r>
        <w:rPr>
          <w:rFonts w:ascii="Arial" w:hAnsi="Arial" w:cs="Arial"/>
          <w:sz w:val="22"/>
          <w:szCs w:val="22"/>
          <w:lang w:val="en-ZA"/>
        </w:rPr>
        <w:tab/>
      </w:r>
      <w:r>
        <w:rPr>
          <w:rFonts w:ascii="Arial" w:hAnsi="Arial" w:cs="Arial"/>
          <w:sz w:val="22"/>
          <w:szCs w:val="22"/>
          <w:lang w:val="en-ZA"/>
        </w:rPr>
        <w:tab/>
      </w:r>
      <w:r>
        <w:rPr>
          <w:rFonts w:ascii="Arial" w:hAnsi="Arial" w:cs="Arial"/>
          <w:sz w:val="22"/>
          <w:szCs w:val="22"/>
          <w:lang w:val="en-ZA"/>
        </w:rPr>
        <w:tab/>
      </w:r>
      <w:r>
        <w:rPr>
          <w:rFonts w:ascii="Arial" w:hAnsi="Arial" w:cs="Arial"/>
          <w:sz w:val="22"/>
          <w:szCs w:val="22"/>
          <w:lang w:val="en-ZA"/>
        </w:rPr>
        <w:tab/>
      </w:r>
      <w:r>
        <w:rPr>
          <w:rFonts w:ascii="Arial" w:hAnsi="Arial" w:cs="Arial"/>
          <w:sz w:val="22"/>
          <w:szCs w:val="22"/>
          <w:lang w:val="en-ZA"/>
        </w:rPr>
        <w:tab/>
      </w:r>
      <w:r>
        <w:rPr>
          <w:rFonts w:ascii="Arial" w:hAnsi="Arial" w:cs="Arial"/>
          <w:sz w:val="22"/>
          <w:szCs w:val="22"/>
          <w:lang w:val="en-ZA"/>
        </w:rPr>
        <w:tab/>
      </w:r>
      <w:r>
        <w:rPr>
          <w:rFonts w:ascii="Arial" w:hAnsi="Arial" w:cs="Arial"/>
          <w:sz w:val="22"/>
          <w:szCs w:val="22"/>
          <w:lang w:val="en-ZA"/>
        </w:rPr>
        <w:tab/>
      </w:r>
      <w:r>
        <w:rPr>
          <w:rFonts w:ascii="Arial" w:hAnsi="Arial" w:cs="Arial"/>
          <w:sz w:val="22"/>
          <w:szCs w:val="22"/>
          <w:lang w:val="en-ZA"/>
        </w:rPr>
        <w:tab/>
      </w:r>
      <w:r>
        <w:rPr>
          <w:rFonts w:ascii="Arial" w:hAnsi="Arial" w:cs="Arial"/>
          <w:sz w:val="22"/>
          <w:szCs w:val="22"/>
          <w:lang w:val="en-ZA"/>
        </w:rPr>
        <w:tab/>
      </w:r>
      <w:r>
        <w:rPr>
          <w:rFonts w:ascii="Arial" w:hAnsi="Arial" w:cs="Arial"/>
          <w:sz w:val="22"/>
          <w:szCs w:val="22"/>
          <w:lang w:val="en-ZA"/>
        </w:rPr>
        <w:tab/>
      </w:r>
      <w:r w:rsidRPr="00052A56">
        <w:rPr>
          <w:rFonts w:ascii="Arial" w:hAnsi="Arial" w:cs="Arial"/>
          <w:sz w:val="22"/>
          <w:szCs w:val="22"/>
          <w:lang w:val="en-ZA"/>
        </w:rPr>
        <w:t>NW3200E</w:t>
      </w:r>
    </w:p>
    <w:p w:rsidR="00F05952" w:rsidRPr="001B0917" w:rsidRDefault="00F05952" w:rsidP="001B0917">
      <w:pPr>
        <w:pStyle w:val="BodyTextIndent"/>
        <w:spacing w:line="276" w:lineRule="auto"/>
        <w:ind w:left="0" w:firstLine="0"/>
        <w:rPr>
          <w:rFonts w:ascii="Arial" w:hAnsi="Arial" w:cs="Arial"/>
          <w:b/>
          <w:sz w:val="22"/>
          <w:szCs w:val="22"/>
        </w:rPr>
      </w:pPr>
      <w:r w:rsidRPr="001B0917">
        <w:rPr>
          <w:rFonts w:ascii="Arial" w:hAnsi="Arial" w:cs="Arial"/>
          <w:b/>
          <w:sz w:val="22"/>
          <w:szCs w:val="22"/>
        </w:rPr>
        <w:t>REPLY:</w:t>
      </w:r>
    </w:p>
    <w:p w:rsidR="00F05952" w:rsidRDefault="00F05952" w:rsidP="001B0917">
      <w:pPr>
        <w:tabs>
          <w:tab w:val="left" w:pos="432"/>
          <w:tab w:val="left" w:pos="864"/>
        </w:tabs>
        <w:spacing w:line="276" w:lineRule="auto"/>
        <w:jc w:val="center"/>
        <w:rPr>
          <w:rFonts w:ascii="Arial" w:hAnsi="Arial" w:cs="Arial"/>
          <w:sz w:val="22"/>
          <w:szCs w:val="22"/>
          <w:lang w:val="en-GB"/>
        </w:rPr>
      </w:pPr>
    </w:p>
    <w:p w:rsidR="00F05952" w:rsidRDefault="00F05952" w:rsidP="00B52B64">
      <w:pPr>
        <w:pStyle w:val="ListParagraph"/>
        <w:numPr>
          <w:ilvl w:val="0"/>
          <w:numId w:val="4"/>
        </w:numPr>
        <w:tabs>
          <w:tab w:val="left" w:pos="432"/>
          <w:tab w:val="left" w:pos="864"/>
        </w:tabs>
        <w:spacing w:line="276" w:lineRule="auto"/>
        <w:jc w:val="both"/>
        <w:rPr>
          <w:rFonts w:ascii="Arial" w:hAnsi="Arial" w:cs="Arial"/>
          <w:sz w:val="22"/>
          <w:szCs w:val="22"/>
          <w:lang w:val="en-GB"/>
        </w:rPr>
      </w:pPr>
      <w:r>
        <w:rPr>
          <w:rFonts w:ascii="Arial" w:hAnsi="Arial" w:cs="Arial"/>
          <w:sz w:val="22"/>
          <w:szCs w:val="22"/>
          <w:lang w:val="en-GB"/>
        </w:rPr>
        <w:t>National Treasury makes significant efforts to communicate publicly its fiscal strategy and implications for the debt outlook. E</w:t>
      </w:r>
      <w:r w:rsidRPr="00C173A5">
        <w:rPr>
          <w:rFonts w:ascii="Arial" w:hAnsi="Arial" w:cs="Arial"/>
          <w:sz w:val="22"/>
          <w:szCs w:val="22"/>
          <w:lang w:val="en-GB"/>
        </w:rPr>
        <w:t xml:space="preserve">xtensive budget information </w:t>
      </w:r>
      <w:r>
        <w:rPr>
          <w:rFonts w:ascii="Arial" w:hAnsi="Arial" w:cs="Arial"/>
          <w:sz w:val="22"/>
          <w:szCs w:val="22"/>
          <w:lang w:val="en-GB"/>
        </w:rPr>
        <w:t xml:space="preserve">is released </w:t>
      </w:r>
      <w:r w:rsidRPr="00C173A5">
        <w:rPr>
          <w:rFonts w:ascii="Arial" w:hAnsi="Arial" w:cs="Arial"/>
          <w:sz w:val="22"/>
          <w:szCs w:val="22"/>
          <w:lang w:val="en-GB"/>
        </w:rPr>
        <w:t>to the legisl</w:t>
      </w:r>
      <w:r>
        <w:rPr>
          <w:rFonts w:ascii="Arial" w:hAnsi="Arial" w:cs="Arial"/>
          <w:sz w:val="22"/>
          <w:szCs w:val="22"/>
          <w:lang w:val="en-GB"/>
        </w:rPr>
        <w:t xml:space="preserve">ature and the public in general. According to the international </w:t>
      </w:r>
      <w:r w:rsidRPr="00C173A5">
        <w:rPr>
          <w:rFonts w:ascii="Arial" w:hAnsi="Arial" w:cs="Arial"/>
          <w:sz w:val="22"/>
          <w:szCs w:val="22"/>
          <w:lang w:val="en-GB"/>
        </w:rPr>
        <w:t xml:space="preserve">Open Budget Index </w:t>
      </w:r>
      <w:r>
        <w:rPr>
          <w:rFonts w:ascii="Arial" w:hAnsi="Arial" w:cs="Arial"/>
          <w:sz w:val="22"/>
          <w:szCs w:val="22"/>
          <w:lang w:val="en-GB"/>
        </w:rPr>
        <w:t>s</w:t>
      </w:r>
      <w:r w:rsidRPr="00C173A5">
        <w:rPr>
          <w:rFonts w:ascii="Arial" w:hAnsi="Arial" w:cs="Arial"/>
          <w:sz w:val="22"/>
          <w:szCs w:val="22"/>
          <w:lang w:val="en-GB"/>
        </w:rPr>
        <w:t>urvey</w:t>
      </w:r>
      <w:r>
        <w:rPr>
          <w:rFonts w:ascii="Arial" w:hAnsi="Arial" w:cs="Arial"/>
          <w:sz w:val="22"/>
          <w:szCs w:val="22"/>
          <w:lang w:val="en-GB"/>
        </w:rPr>
        <w:t xml:space="preserve">, </w:t>
      </w:r>
      <w:r w:rsidRPr="00C173A5">
        <w:rPr>
          <w:rFonts w:ascii="Arial" w:hAnsi="Arial" w:cs="Arial"/>
          <w:sz w:val="22"/>
          <w:szCs w:val="22"/>
          <w:lang w:val="en-GB"/>
        </w:rPr>
        <w:t xml:space="preserve">South Africa </w:t>
      </w:r>
      <w:r>
        <w:rPr>
          <w:rFonts w:ascii="Arial" w:hAnsi="Arial" w:cs="Arial"/>
          <w:sz w:val="22"/>
          <w:szCs w:val="22"/>
          <w:lang w:val="en-GB"/>
        </w:rPr>
        <w:t>ranks</w:t>
      </w:r>
      <w:r w:rsidRPr="00C173A5">
        <w:rPr>
          <w:rFonts w:ascii="Arial" w:hAnsi="Arial" w:cs="Arial"/>
          <w:sz w:val="22"/>
          <w:szCs w:val="22"/>
          <w:lang w:val="en-GB"/>
        </w:rPr>
        <w:t xml:space="preserve"> </w:t>
      </w:r>
      <w:r>
        <w:rPr>
          <w:rFonts w:ascii="Arial" w:hAnsi="Arial" w:cs="Arial"/>
          <w:sz w:val="22"/>
          <w:szCs w:val="22"/>
          <w:lang w:val="en-GB"/>
        </w:rPr>
        <w:t>as one of the top</w:t>
      </w:r>
      <w:r w:rsidRPr="00C173A5">
        <w:rPr>
          <w:rFonts w:ascii="Arial" w:hAnsi="Arial" w:cs="Arial"/>
          <w:sz w:val="22"/>
          <w:szCs w:val="22"/>
          <w:lang w:val="en-GB"/>
        </w:rPr>
        <w:t xml:space="preserve"> countries for transparency and accountability</w:t>
      </w:r>
      <w:r>
        <w:rPr>
          <w:rFonts w:ascii="Arial" w:hAnsi="Arial" w:cs="Arial"/>
          <w:sz w:val="22"/>
          <w:szCs w:val="22"/>
          <w:lang w:val="en-GB"/>
        </w:rPr>
        <w:t xml:space="preserve">. Parliament holds public hearings after the tabling of each Budget Review and Medium Term Budget Policy Statement. As part of its budget outreach programme, National Treasury representatives travel around South Africa presenting the fiscal outlook to universities and civil society organisations. The </w:t>
      </w:r>
      <w:r w:rsidRPr="00C173A5">
        <w:rPr>
          <w:rFonts w:ascii="Arial" w:hAnsi="Arial" w:cs="Arial"/>
          <w:sz w:val="22"/>
          <w:szCs w:val="22"/>
          <w:lang w:val="en-GB"/>
        </w:rPr>
        <w:t xml:space="preserve">National Treasury </w:t>
      </w:r>
      <w:r>
        <w:rPr>
          <w:rFonts w:ascii="Arial" w:hAnsi="Arial" w:cs="Arial"/>
          <w:sz w:val="22"/>
          <w:szCs w:val="22"/>
          <w:lang w:val="en-GB"/>
        </w:rPr>
        <w:t>conducts domestic investor roadshows and communicates regularly with the media on the implications of the fiscal framework for the national debt outlook</w:t>
      </w:r>
      <w:r w:rsidRPr="00B52B64">
        <w:rPr>
          <w:rFonts w:ascii="Arial" w:hAnsi="Arial" w:cs="Arial"/>
          <w:sz w:val="22"/>
          <w:szCs w:val="22"/>
          <w:lang w:val="en-GB"/>
        </w:rPr>
        <w:t xml:space="preserve">. </w:t>
      </w:r>
    </w:p>
    <w:p w:rsidR="00F05952" w:rsidRDefault="00F05952" w:rsidP="00B52B64">
      <w:pPr>
        <w:pStyle w:val="ListParagraph"/>
        <w:tabs>
          <w:tab w:val="left" w:pos="432"/>
          <w:tab w:val="left" w:pos="864"/>
        </w:tabs>
        <w:spacing w:line="276" w:lineRule="auto"/>
        <w:ind w:left="1224"/>
        <w:jc w:val="both"/>
        <w:rPr>
          <w:rFonts w:ascii="Arial" w:hAnsi="Arial" w:cs="Arial"/>
          <w:sz w:val="22"/>
          <w:szCs w:val="22"/>
          <w:lang w:val="en-GB"/>
        </w:rPr>
      </w:pPr>
    </w:p>
    <w:p w:rsidR="00F05952" w:rsidRPr="00B52B64" w:rsidRDefault="00F05952" w:rsidP="00B52B64">
      <w:pPr>
        <w:pStyle w:val="ListParagraph"/>
        <w:tabs>
          <w:tab w:val="left" w:pos="432"/>
          <w:tab w:val="left" w:pos="864"/>
        </w:tabs>
        <w:spacing w:line="276" w:lineRule="auto"/>
        <w:ind w:left="1224"/>
        <w:jc w:val="both"/>
        <w:rPr>
          <w:rFonts w:ascii="Arial" w:hAnsi="Arial" w:cs="Arial"/>
          <w:sz w:val="22"/>
          <w:szCs w:val="22"/>
          <w:lang w:val="en-GB"/>
        </w:rPr>
      </w:pPr>
      <w:r w:rsidRPr="00B52B64">
        <w:rPr>
          <w:rFonts w:ascii="Arial" w:hAnsi="Arial" w:cs="Arial"/>
          <w:sz w:val="22"/>
          <w:szCs w:val="22"/>
          <w:lang w:val="en-GB"/>
        </w:rPr>
        <w:t xml:space="preserve">The debt that government will incur over the </w:t>
      </w:r>
      <w:r>
        <w:rPr>
          <w:rFonts w:ascii="Arial" w:hAnsi="Arial" w:cs="Arial"/>
          <w:sz w:val="22"/>
          <w:szCs w:val="22"/>
          <w:lang w:val="en-GB"/>
        </w:rPr>
        <w:t>coming decade is set out in the publicly available budget</w:t>
      </w:r>
      <w:r w:rsidRPr="00B52B64">
        <w:rPr>
          <w:rFonts w:ascii="Arial" w:hAnsi="Arial" w:cs="Arial"/>
          <w:sz w:val="22"/>
          <w:szCs w:val="22"/>
          <w:lang w:val="en-GB"/>
        </w:rPr>
        <w:t xml:space="preserve"> documents tabled in </w:t>
      </w:r>
      <w:r>
        <w:rPr>
          <w:rFonts w:ascii="Arial" w:hAnsi="Arial" w:cs="Arial"/>
          <w:sz w:val="22"/>
          <w:szCs w:val="22"/>
          <w:lang w:val="en-GB"/>
        </w:rPr>
        <w:t>p</w:t>
      </w:r>
      <w:r w:rsidRPr="00B52B64">
        <w:rPr>
          <w:rFonts w:ascii="Arial" w:hAnsi="Arial" w:cs="Arial"/>
          <w:sz w:val="22"/>
          <w:szCs w:val="22"/>
          <w:lang w:val="en-GB"/>
        </w:rPr>
        <w:t xml:space="preserve">arliament </w:t>
      </w:r>
      <w:r>
        <w:rPr>
          <w:rFonts w:ascii="Arial" w:hAnsi="Arial" w:cs="Arial"/>
          <w:sz w:val="22"/>
          <w:szCs w:val="22"/>
          <w:lang w:val="en-GB"/>
        </w:rPr>
        <w:t>in</w:t>
      </w:r>
      <w:r w:rsidRPr="00B52B64">
        <w:rPr>
          <w:rFonts w:ascii="Arial" w:hAnsi="Arial" w:cs="Arial"/>
          <w:sz w:val="22"/>
          <w:szCs w:val="22"/>
          <w:lang w:val="en-GB"/>
        </w:rPr>
        <w:t xml:space="preserve"> February each year. Provisions are made for debt</w:t>
      </w:r>
      <w:r>
        <w:rPr>
          <w:rFonts w:ascii="Arial" w:hAnsi="Arial" w:cs="Arial"/>
          <w:sz w:val="22"/>
          <w:szCs w:val="22"/>
          <w:lang w:val="en-GB"/>
        </w:rPr>
        <w:t xml:space="preserve"> that is falling due</w:t>
      </w:r>
      <w:r w:rsidRPr="00B52B64">
        <w:rPr>
          <w:rFonts w:ascii="Arial" w:hAnsi="Arial" w:cs="Arial"/>
          <w:sz w:val="22"/>
          <w:szCs w:val="22"/>
          <w:lang w:val="en-GB"/>
        </w:rPr>
        <w:t xml:space="preserve">, with the details outlined in chapter 7 of </w:t>
      </w:r>
      <w:r>
        <w:rPr>
          <w:rFonts w:ascii="Arial" w:hAnsi="Arial" w:cs="Arial"/>
          <w:sz w:val="22"/>
          <w:szCs w:val="22"/>
          <w:lang w:val="en-GB"/>
        </w:rPr>
        <w:t xml:space="preserve">2015 </w:t>
      </w:r>
      <w:r w:rsidRPr="00B52B64">
        <w:rPr>
          <w:rFonts w:ascii="Arial" w:hAnsi="Arial" w:cs="Arial"/>
          <w:sz w:val="22"/>
          <w:szCs w:val="22"/>
          <w:lang w:val="en-GB"/>
        </w:rPr>
        <w:t>Budget Review. A more detailed breakdown is published in the annual Debt Management Report, which is available on the N</w:t>
      </w:r>
      <w:r>
        <w:rPr>
          <w:rFonts w:ascii="Arial" w:hAnsi="Arial" w:cs="Arial"/>
          <w:sz w:val="22"/>
          <w:szCs w:val="22"/>
          <w:lang w:val="en-GB"/>
        </w:rPr>
        <w:t xml:space="preserve">ational </w:t>
      </w:r>
      <w:r w:rsidRPr="00B52B64">
        <w:rPr>
          <w:rFonts w:ascii="Arial" w:hAnsi="Arial" w:cs="Arial"/>
          <w:sz w:val="22"/>
          <w:szCs w:val="22"/>
          <w:lang w:val="en-GB"/>
        </w:rPr>
        <w:t>T</w:t>
      </w:r>
      <w:r>
        <w:rPr>
          <w:rFonts w:ascii="Arial" w:hAnsi="Arial" w:cs="Arial"/>
          <w:sz w:val="22"/>
          <w:szCs w:val="22"/>
          <w:lang w:val="en-GB"/>
        </w:rPr>
        <w:t>reasury</w:t>
      </w:r>
      <w:r w:rsidRPr="00B52B64">
        <w:rPr>
          <w:rFonts w:ascii="Arial" w:hAnsi="Arial" w:cs="Arial"/>
          <w:sz w:val="22"/>
          <w:szCs w:val="22"/>
          <w:lang w:val="en-GB"/>
        </w:rPr>
        <w:t xml:space="preserve"> website.</w:t>
      </w:r>
    </w:p>
    <w:p w:rsidR="00F05952" w:rsidRDefault="00F05952" w:rsidP="00C173A5">
      <w:pPr>
        <w:pStyle w:val="ListParagraph"/>
        <w:tabs>
          <w:tab w:val="left" w:pos="432"/>
          <w:tab w:val="left" w:pos="864"/>
        </w:tabs>
        <w:spacing w:line="276" w:lineRule="auto"/>
        <w:ind w:left="1224"/>
        <w:jc w:val="both"/>
        <w:rPr>
          <w:rFonts w:ascii="Arial" w:hAnsi="Arial" w:cs="Arial"/>
          <w:sz w:val="22"/>
          <w:szCs w:val="22"/>
          <w:lang w:val="en-GB"/>
        </w:rPr>
      </w:pPr>
    </w:p>
    <w:p w:rsidR="00F05952" w:rsidRDefault="00F05952" w:rsidP="009F7FD6">
      <w:pPr>
        <w:pStyle w:val="ListParagraph"/>
        <w:numPr>
          <w:ilvl w:val="0"/>
          <w:numId w:val="4"/>
        </w:numPr>
        <w:tabs>
          <w:tab w:val="left" w:pos="432"/>
          <w:tab w:val="left" w:pos="864"/>
        </w:tabs>
        <w:spacing w:line="276" w:lineRule="auto"/>
        <w:jc w:val="both"/>
        <w:rPr>
          <w:rFonts w:ascii="Arial" w:hAnsi="Arial" w:cs="Arial"/>
          <w:sz w:val="22"/>
          <w:szCs w:val="22"/>
          <w:lang w:val="en-GB"/>
        </w:rPr>
      </w:pPr>
      <w:r>
        <w:rPr>
          <w:rFonts w:ascii="Arial" w:hAnsi="Arial" w:cs="Arial"/>
          <w:sz w:val="22"/>
          <w:szCs w:val="22"/>
          <w:lang w:val="en-GB"/>
        </w:rPr>
        <w:t>Government manages the debt outlook by narrowing the deficit over time while mitigating</w:t>
      </w:r>
      <w:r w:rsidRPr="002A44B6">
        <w:rPr>
          <w:rFonts w:ascii="Arial" w:hAnsi="Arial" w:cs="Arial"/>
          <w:sz w:val="22"/>
          <w:szCs w:val="22"/>
          <w:lang w:val="en-GB"/>
        </w:rPr>
        <w:t xml:space="preserve"> refinancing risk </w:t>
      </w:r>
      <w:r>
        <w:rPr>
          <w:rFonts w:ascii="Arial" w:hAnsi="Arial" w:cs="Arial"/>
          <w:sz w:val="22"/>
          <w:szCs w:val="22"/>
          <w:lang w:val="en-GB"/>
        </w:rPr>
        <w:t xml:space="preserve">(i.e. </w:t>
      </w:r>
      <w:r w:rsidRPr="002A44B6">
        <w:rPr>
          <w:rFonts w:ascii="Arial" w:hAnsi="Arial" w:cs="Arial"/>
          <w:sz w:val="22"/>
          <w:szCs w:val="22"/>
          <w:lang w:val="en-GB"/>
        </w:rPr>
        <w:t>the risk that government will not be able to raise money to finance the budget deficit and repay debt at any scheduled point, or will have to do so at high cost</w:t>
      </w:r>
      <w:r>
        <w:rPr>
          <w:rFonts w:ascii="Arial" w:hAnsi="Arial" w:cs="Arial"/>
          <w:sz w:val="22"/>
          <w:szCs w:val="22"/>
          <w:lang w:val="en-GB"/>
        </w:rPr>
        <w:t>).</w:t>
      </w:r>
      <w:r w:rsidRPr="002A44B6">
        <w:rPr>
          <w:rFonts w:ascii="Arial" w:hAnsi="Arial" w:cs="Arial"/>
          <w:sz w:val="22"/>
          <w:szCs w:val="22"/>
          <w:lang w:val="en-GB"/>
        </w:rPr>
        <w:t xml:space="preserve"> </w:t>
      </w:r>
      <w:r w:rsidRPr="00B52B64">
        <w:rPr>
          <w:rFonts w:ascii="Arial" w:hAnsi="Arial" w:cs="Arial"/>
          <w:sz w:val="22"/>
          <w:szCs w:val="22"/>
          <w:lang w:val="en-GB"/>
        </w:rPr>
        <w:t xml:space="preserve">In order to </w:t>
      </w:r>
      <w:r>
        <w:rPr>
          <w:rFonts w:ascii="Arial" w:hAnsi="Arial" w:cs="Arial"/>
          <w:sz w:val="22"/>
          <w:szCs w:val="22"/>
          <w:lang w:val="en-GB"/>
        </w:rPr>
        <w:t>close the deficit</w:t>
      </w:r>
      <w:r w:rsidRPr="00B52B64">
        <w:rPr>
          <w:rFonts w:ascii="Arial" w:hAnsi="Arial" w:cs="Arial"/>
          <w:sz w:val="22"/>
          <w:szCs w:val="22"/>
          <w:lang w:val="en-GB"/>
        </w:rPr>
        <w:t xml:space="preserve">, government has raised taxes and reduced the rate of expenditure growth. The budget also aims to change the composition of borrowing, in order to ensure that government debt is used to fund </w:t>
      </w:r>
      <w:r>
        <w:rPr>
          <w:rFonts w:ascii="Arial" w:hAnsi="Arial" w:cs="Arial"/>
          <w:sz w:val="22"/>
          <w:szCs w:val="22"/>
          <w:lang w:val="en-GB"/>
        </w:rPr>
        <w:t>infrastructure spending</w:t>
      </w:r>
      <w:r w:rsidRPr="00B52B64">
        <w:rPr>
          <w:rFonts w:ascii="Arial" w:hAnsi="Arial" w:cs="Arial"/>
          <w:sz w:val="22"/>
          <w:szCs w:val="22"/>
          <w:lang w:val="en-GB"/>
        </w:rPr>
        <w:t xml:space="preserve"> with a </w:t>
      </w:r>
      <w:r>
        <w:rPr>
          <w:rFonts w:ascii="Arial" w:hAnsi="Arial" w:cs="Arial"/>
          <w:sz w:val="22"/>
          <w:szCs w:val="22"/>
          <w:lang w:val="en-GB"/>
        </w:rPr>
        <w:t xml:space="preserve">positive </w:t>
      </w:r>
      <w:r w:rsidRPr="00B52B64">
        <w:rPr>
          <w:rFonts w:ascii="Arial" w:hAnsi="Arial" w:cs="Arial"/>
          <w:sz w:val="22"/>
          <w:szCs w:val="22"/>
          <w:lang w:val="en-GB"/>
        </w:rPr>
        <w:t xml:space="preserve">long-term impact. </w:t>
      </w:r>
    </w:p>
    <w:p w:rsidR="00F05952" w:rsidRDefault="00F05952" w:rsidP="009F7FD6">
      <w:pPr>
        <w:pStyle w:val="ListParagraph"/>
        <w:tabs>
          <w:tab w:val="left" w:pos="432"/>
          <w:tab w:val="left" w:pos="864"/>
        </w:tabs>
        <w:spacing w:line="276" w:lineRule="auto"/>
        <w:ind w:left="1224"/>
        <w:jc w:val="both"/>
        <w:rPr>
          <w:rFonts w:ascii="Arial" w:hAnsi="Arial" w:cs="Arial"/>
          <w:sz w:val="22"/>
          <w:szCs w:val="22"/>
          <w:lang w:val="en-GB"/>
        </w:rPr>
      </w:pPr>
    </w:p>
    <w:p w:rsidR="00F05952" w:rsidRPr="009F7FD6" w:rsidRDefault="00F05952" w:rsidP="00504976">
      <w:pPr>
        <w:pStyle w:val="ListParagraph"/>
        <w:tabs>
          <w:tab w:val="left" w:pos="432"/>
          <w:tab w:val="left" w:pos="864"/>
        </w:tabs>
        <w:spacing w:line="276" w:lineRule="auto"/>
        <w:ind w:left="1224"/>
        <w:jc w:val="both"/>
        <w:rPr>
          <w:rFonts w:ascii="Arial" w:hAnsi="Arial" w:cs="Arial"/>
          <w:sz w:val="22"/>
          <w:szCs w:val="22"/>
          <w:lang w:val="en-GB"/>
        </w:rPr>
      </w:pPr>
      <w:r>
        <w:rPr>
          <w:rFonts w:ascii="Arial" w:hAnsi="Arial" w:cs="Arial"/>
          <w:sz w:val="22"/>
          <w:szCs w:val="22"/>
          <w:lang w:val="en-GB"/>
        </w:rPr>
        <w:t xml:space="preserve">The </w:t>
      </w:r>
      <w:r w:rsidRPr="002A44B6">
        <w:rPr>
          <w:rFonts w:ascii="Arial" w:hAnsi="Arial" w:cs="Arial"/>
          <w:sz w:val="22"/>
          <w:szCs w:val="22"/>
          <w:lang w:val="en-GB"/>
        </w:rPr>
        <w:t>medium-term borrowing strategy</w:t>
      </w:r>
      <w:r>
        <w:rPr>
          <w:rFonts w:ascii="Arial" w:hAnsi="Arial" w:cs="Arial"/>
          <w:sz w:val="22"/>
          <w:szCs w:val="22"/>
          <w:lang w:val="en-GB"/>
        </w:rPr>
        <w:t xml:space="preserve"> </w:t>
      </w:r>
      <w:r w:rsidRPr="002A44B6">
        <w:rPr>
          <w:rFonts w:ascii="Arial" w:hAnsi="Arial" w:cs="Arial"/>
          <w:sz w:val="22"/>
          <w:szCs w:val="22"/>
          <w:lang w:val="en-GB"/>
        </w:rPr>
        <w:t>focus</w:t>
      </w:r>
      <w:r>
        <w:rPr>
          <w:rFonts w:ascii="Arial" w:hAnsi="Arial" w:cs="Arial"/>
          <w:sz w:val="22"/>
          <w:szCs w:val="22"/>
          <w:lang w:val="en-GB"/>
        </w:rPr>
        <w:t>es</w:t>
      </w:r>
      <w:r w:rsidRPr="002A44B6">
        <w:rPr>
          <w:rFonts w:ascii="Arial" w:hAnsi="Arial" w:cs="Arial"/>
          <w:sz w:val="22"/>
          <w:szCs w:val="22"/>
          <w:lang w:val="en-GB"/>
        </w:rPr>
        <w:t xml:space="preserve"> on mitigating the risks presented by the sharp increase in loan repayments in 2017/18 and beyond. To meet these high loan repayments, cash </w:t>
      </w:r>
      <w:r>
        <w:rPr>
          <w:rFonts w:ascii="Arial" w:hAnsi="Arial" w:cs="Arial"/>
          <w:sz w:val="22"/>
          <w:szCs w:val="22"/>
          <w:lang w:val="en-GB"/>
        </w:rPr>
        <w:t xml:space="preserve">has </w:t>
      </w:r>
      <w:r w:rsidRPr="002A44B6">
        <w:rPr>
          <w:rFonts w:ascii="Arial" w:hAnsi="Arial" w:cs="Arial"/>
          <w:sz w:val="22"/>
          <w:szCs w:val="22"/>
          <w:lang w:val="en-GB"/>
        </w:rPr>
        <w:t>be</w:t>
      </w:r>
      <w:r>
        <w:rPr>
          <w:rFonts w:ascii="Arial" w:hAnsi="Arial" w:cs="Arial"/>
          <w:sz w:val="22"/>
          <w:szCs w:val="22"/>
          <w:lang w:val="en-GB"/>
        </w:rPr>
        <w:t>en</w:t>
      </w:r>
      <w:r w:rsidRPr="002A44B6">
        <w:rPr>
          <w:rFonts w:ascii="Arial" w:hAnsi="Arial" w:cs="Arial"/>
          <w:sz w:val="22"/>
          <w:szCs w:val="22"/>
          <w:lang w:val="en-GB"/>
        </w:rPr>
        <w:t xml:space="preserve"> generated from higher long-term borrowing in 2014/15. Over the medium term, the cash will be used to pay down short-term borrowing.</w:t>
      </w:r>
      <w:r>
        <w:rPr>
          <w:rFonts w:ascii="Arial" w:hAnsi="Arial" w:cs="Arial"/>
          <w:sz w:val="22"/>
          <w:szCs w:val="22"/>
          <w:lang w:val="en-GB"/>
        </w:rPr>
        <w:t xml:space="preserve"> G</w:t>
      </w:r>
      <w:r w:rsidRPr="002A44B6">
        <w:rPr>
          <w:rFonts w:ascii="Arial" w:hAnsi="Arial" w:cs="Arial"/>
          <w:sz w:val="22"/>
          <w:szCs w:val="22"/>
          <w:lang w:val="en-GB"/>
        </w:rPr>
        <w:t xml:space="preserve">overnment also makes use of a bond-switch programme to ease pressure on targeted areas of the bond redemption profile by exchanging short-term for longer-term debt. </w:t>
      </w:r>
    </w:p>
    <w:p w:rsidR="00F05952" w:rsidRPr="003A3D58" w:rsidRDefault="00F05952" w:rsidP="003A3D58">
      <w:pPr>
        <w:tabs>
          <w:tab w:val="left" w:pos="432"/>
          <w:tab w:val="left" w:pos="864"/>
        </w:tabs>
        <w:spacing w:line="276" w:lineRule="auto"/>
        <w:ind w:left="864"/>
        <w:jc w:val="both"/>
        <w:rPr>
          <w:rFonts w:ascii="Arial" w:hAnsi="Arial" w:cs="Arial"/>
          <w:sz w:val="22"/>
          <w:szCs w:val="22"/>
          <w:lang w:val="en-GB"/>
        </w:rPr>
      </w:pPr>
    </w:p>
    <w:p w:rsidR="00F05952" w:rsidRPr="003A3D58" w:rsidRDefault="00F05952" w:rsidP="003A3D58">
      <w:pPr>
        <w:tabs>
          <w:tab w:val="left" w:pos="432"/>
          <w:tab w:val="left" w:pos="864"/>
        </w:tabs>
        <w:spacing w:line="276" w:lineRule="auto"/>
        <w:ind w:left="864"/>
        <w:jc w:val="both"/>
        <w:rPr>
          <w:rFonts w:ascii="Arial" w:hAnsi="Arial" w:cs="Arial"/>
          <w:sz w:val="22"/>
          <w:szCs w:val="22"/>
          <w:lang w:val="en-GB"/>
        </w:rPr>
      </w:pPr>
    </w:p>
    <w:p w:rsidR="00F05952" w:rsidRPr="00411C96" w:rsidRDefault="00F05952" w:rsidP="001B0917">
      <w:pPr>
        <w:tabs>
          <w:tab w:val="left" w:pos="432"/>
          <w:tab w:val="left" w:pos="864"/>
        </w:tabs>
        <w:spacing w:line="276" w:lineRule="auto"/>
        <w:jc w:val="center"/>
        <w:rPr>
          <w:rFonts w:ascii="Arial" w:hAnsi="Arial" w:cs="Arial"/>
          <w:sz w:val="22"/>
          <w:szCs w:val="22"/>
          <w:lang w:val="en-GB"/>
        </w:rPr>
      </w:pPr>
    </w:p>
    <w:p w:rsidR="00F05952" w:rsidRPr="001B0917" w:rsidRDefault="00F05952" w:rsidP="001B0917">
      <w:pPr>
        <w:tabs>
          <w:tab w:val="left" w:pos="432"/>
          <w:tab w:val="left" w:pos="864"/>
        </w:tabs>
        <w:spacing w:line="276" w:lineRule="auto"/>
        <w:jc w:val="center"/>
        <w:rPr>
          <w:rFonts w:ascii="Arial" w:hAnsi="Arial" w:cs="Arial"/>
          <w:b/>
          <w:sz w:val="22"/>
          <w:szCs w:val="22"/>
        </w:rPr>
      </w:pPr>
    </w:p>
    <w:p w:rsidR="00F05952" w:rsidRPr="001B0917" w:rsidRDefault="00F05952" w:rsidP="001B0917">
      <w:pPr>
        <w:tabs>
          <w:tab w:val="left" w:pos="432"/>
          <w:tab w:val="left" w:pos="864"/>
        </w:tabs>
        <w:spacing w:line="276" w:lineRule="auto"/>
        <w:jc w:val="center"/>
        <w:rPr>
          <w:rFonts w:ascii="Arial" w:hAnsi="Arial" w:cs="Arial"/>
          <w:b/>
          <w:sz w:val="22"/>
          <w:szCs w:val="22"/>
        </w:rPr>
      </w:pPr>
    </w:p>
    <w:p w:rsidR="00F05952" w:rsidRPr="001B0917" w:rsidRDefault="00F05952" w:rsidP="001B0917">
      <w:pPr>
        <w:tabs>
          <w:tab w:val="left" w:pos="432"/>
          <w:tab w:val="left" w:pos="864"/>
        </w:tabs>
        <w:spacing w:line="276" w:lineRule="auto"/>
        <w:jc w:val="center"/>
        <w:rPr>
          <w:rFonts w:ascii="Arial" w:hAnsi="Arial" w:cs="Arial"/>
          <w:b/>
          <w:sz w:val="22"/>
          <w:szCs w:val="22"/>
        </w:rPr>
      </w:pPr>
    </w:p>
    <w:p w:rsidR="00F05952" w:rsidRPr="001B0917" w:rsidRDefault="00F05952" w:rsidP="001B0917">
      <w:pPr>
        <w:tabs>
          <w:tab w:val="left" w:pos="432"/>
          <w:tab w:val="left" w:pos="864"/>
        </w:tabs>
        <w:spacing w:line="276" w:lineRule="auto"/>
        <w:jc w:val="center"/>
        <w:rPr>
          <w:rFonts w:ascii="Arial" w:hAnsi="Arial" w:cs="Arial"/>
          <w:b/>
          <w:sz w:val="22"/>
          <w:szCs w:val="22"/>
        </w:rPr>
      </w:pPr>
    </w:p>
    <w:p w:rsidR="00F05952" w:rsidRPr="001B0917" w:rsidRDefault="00F05952" w:rsidP="001B0917">
      <w:pPr>
        <w:tabs>
          <w:tab w:val="left" w:pos="432"/>
          <w:tab w:val="left" w:pos="864"/>
        </w:tabs>
        <w:spacing w:line="276" w:lineRule="auto"/>
        <w:jc w:val="center"/>
        <w:rPr>
          <w:rFonts w:ascii="Arial" w:hAnsi="Arial" w:cs="Arial"/>
          <w:b/>
          <w:sz w:val="22"/>
          <w:szCs w:val="22"/>
        </w:rPr>
      </w:pPr>
    </w:p>
    <w:p w:rsidR="00F05952" w:rsidRPr="001B0917" w:rsidRDefault="00F05952" w:rsidP="001B0917">
      <w:pPr>
        <w:tabs>
          <w:tab w:val="left" w:pos="432"/>
          <w:tab w:val="left" w:pos="864"/>
        </w:tabs>
        <w:spacing w:line="276" w:lineRule="auto"/>
        <w:jc w:val="center"/>
        <w:rPr>
          <w:rFonts w:ascii="Arial" w:hAnsi="Arial" w:cs="Arial"/>
          <w:b/>
          <w:sz w:val="22"/>
          <w:szCs w:val="22"/>
        </w:rPr>
      </w:pPr>
    </w:p>
    <w:p w:rsidR="00F05952" w:rsidRPr="001B0917" w:rsidRDefault="00F05952" w:rsidP="001B0917">
      <w:pPr>
        <w:tabs>
          <w:tab w:val="left" w:pos="432"/>
          <w:tab w:val="left" w:pos="864"/>
        </w:tabs>
        <w:spacing w:line="276" w:lineRule="auto"/>
        <w:jc w:val="center"/>
        <w:rPr>
          <w:rFonts w:ascii="Arial" w:hAnsi="Arial" w:cs="Arial"/>
          <w:b/>
          <w:sz w:val="22"/>
          <w:szCs w:val="22"/>
        </w:rPr>
      </w:pPr>
    </w:p>
    <w:p w:rsidR="00F05952" w:rsidRPr="001B0917" w:rsidRDefault="00F05952" w:rsidP="001B0917">
      <w:pPr>
        <w:spacing w:line="276" w:lineRule="auto"/>
        <w:jc w:val="both"/>
        <w:rPr>
          <w:rFonts w:ascii="Arial" w:hAnsi="Arial" w:cs="Arial"/>
          <w:b/>
          <w:sz w:val="22"/>
          <w:szCs w:val="22"/>
        </w:rPr>
      </w:pPr>
    </w:p>
    <w:sectPr w:rsidR="00F05952" w:rsidRPr="001B0917" w:rsidSect="00AD5C9B">
      <w:pgSz w:w="12240" w:h="15840" w:code="1"/>
      <w:pgMar w:top="1418" w:right="1418" w:bottom="1418" w:left="1418"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779A2"/>
    <w:multiLevelType w:val="hybridMultilevel"/>
    <w:tmpl w:val="AFB07968"/>
    <w:lvl w:ilvl="0" w:tplc="57DAC7E2">
      <w:start w:val="1"/>
      <w:numFmt w:val="lowerLetter"/>
      <w:lvlText w:val="(%1)"/>
      <w:lvlJc w:val="left"/>
      <w:pPr>
        <w:ind w:left="1224" w:hanging="360"/>
      </w:pPr>
      <w:rPr>
        <w:rFonts w:cs="Times New Roman" w:hint="default"/>
      </w:rPr>
    </w:lvl>
    <w:lvl w:ilvl="1" w:tplc="1C090019" w:tentative="1">
      <w:start w:val="1"/>
      <w:numFmt w:val="lowerLetter"/>
      <w:lvlText w:val="%2."/>
      <w:lvlJc w:val="left"/>
      <w:pPr>
        <w:ind w:left="1944" w:hanging="360"/>
      </w:pPr>
      <w:rPr>
        <w:rFonts w:cs="Times New Roman"/>
      </w:rPr>
    </w:lvl>
    <w:lvl w:ilvl="2" w:tplc="1C09001B" w:tentative="1">
      <w:start w:val="1"/>
      <w:numFmt w:val="lowerRoman"/>
      <w:lvlText w:val="%3."/>
      <w:lvlJc w:val="right"/>
      <w:pPr>
        <w:ind w:left="2664" w:hanging="180"/>
      </w:pPr>
      <w:rPr>
        <w:rFonts w:cs="Times New Roman"/>
      </w:rPr>
    </w:lvl>
    <w:lvl w:ilvl="3" w:tplc="1C09000F" w:tentative="1">
      <w:start w:val="1"/>
      <w:numFmt w:val="decimal"/>
      <w:lvlText w:val="%4."/>
      <w:lvlJc w:val="left"/>
      <w:pPr>
        <w:ind w:left="3384" w:hanging="360"/>
      </w:pPr>
      <w:rPr>
        <w:rFonts w:cs="Times New Roman"/>
      </w:rPr>
    </w:lvl>
    <w:lvl w:ilvl="4" w:tplc="1C090019" w:tentative="1">
      <w:start w:val="1"/>
      <w:numFmt w:val="lowerLetter"/>
      <w:lvlText w:val="%5."/>
      <w:lvlJc w:val="left"/>
      <w:pPr>
        <w:ind w:left="4104" w:hanging="360"/>
      </w:pPr>
      <w:rPr>
        <w:rFonts w:cs="Times New Roman"/>
      </w:rPr>
    </w:lvl>
    <w:lvl w:ilvl="5" w:tplc="1C09001B" w:tentative="1">
      <w:start w:val="1"/>
      <w:numFmt w:val="lowerRoman"/>
      <w:lvlText w:val="%6."/>
      <w:lvlJc w:val="right"/>
      <w:pPr>
        <w:ind w:left="4824" w:hanging="180"/>
      </w:pPr>
      <w:rPr>
        <w:rFonts w:cs="Times New Roman"/>
      </w:rPr>
    </w:lvl>
    <w:lvl w:ilvl="6" w:tplc="1C09000F" w:tentative="1">
      <w:start w:val="1"/>
      <w:numFmt w:val="decimal"/>
      <w:lvlText w:val="%7."/>
      <w:lvlJc w:val="left"/>
      <w:pPr>
        <w:ind w:left="5544" w:hanging="360"/>
      </w:pPr>
      <w:rPr>
        <w:rFonts w:cs="Times New Roman"/>
      </w:rPr>
    </w:lvl>
    <w:lvl w:ilvl="7" w:tplc="1C090019" w:tentative="1">
      <w:start w:val="1"/>
      <w:numFmt w:val="lowerLetter"/>
      <w:lvlText w:val="%8."/>
      <w:lvlJc w:val="left"/>
      <w:pPr>
        <w:ind w:left="6264" w:hanging="360"/>
      </w:pPr>
      <w:rPr>
        <w:rFonts w:cs="Times New Roman"/>
      </w:rPr>
    </w:lvl>
    <w:lvl w:ilvl="8" w:tplc="1C09001B" w:tentative="1">
      <w:start w:val="1"/>
      <w:numFmt w:val="lowerRoman"/>
      <w:lvlText w:val="%9."/>
      <w:lvlJc w:val="right"/>
      <w:pPr>
        <w:ind w:left="6984" w:hanging="180"/>
      </w:pPr>
      <w:rPr>
        <w:rFonts w:cs="Times New Roman"/>
      </w:rPr>
    </w:lvl>
  </w:abstractNum>
  <w:abstractNum w:abstractNumId="1">
    <w:nsid w:val="3CC7640C"/>
    <w:multiLevelType w:val="hybridMultilevel"/>
    <w:tmpl w:val="C3788032"/>
    <w:lvl w:ilvl="0" w:tplc="1C090017">
      <w:start w:val="1"/>
      <w:numFmt w:val="lowerLetter"/>
      <w:lvlText w:val="%1)"/>
      <w:lvlJc w:val="left"/>
      <w:pPr>
        <w:ind w:left="1944" w:hanging="360"/>
      </w:pPr>
      <w:rPr>
        <w:rFonts w:cs="Times New Roman"/>
      </w:rPr>
    </w:lvl>
    <w:lvl w:ilvl="1" w:tplc="1C090019" w:tentative="1">
      <w:start w:val="1"/>
      <w:numFmt w:val="lowerLetter"/>
      <w:lvlText w:val="%2."/>
      <w:lvlJc w:val="left"/>
      <w:pPr>
        <w:ind w:left="2664" w:hanging="360"/>
      </w:pPr>
      <w:rPr>
        <w:rFonts w:cs="Times New Roman"/>
      </w:rPr>
    </w:lvl>
    <w:lvl w:ilvl="2" w:tplc="1C09001B" w:tentative="1">
      <w:start w:val="1"/>
      <w:numFmt w:val="lowerRoman"/>
      <w:lvlText w:val="%3."/>
      <w:lvlJc w:val="right"/>
      <w:pPr>
        <w:ind w:left="3384" w:hanging="180"/>
      </w:pPr>
      <w:rPr>
        <w:rFonts w:cs="Times New Roman"/>
      </w:rPr>
    </w:lvl>
    <w:lvl w:ilvl="3" w:tplc="1C09000F" w:tentative="1">
      <w:start w:val="1"/>
      <w:numFmt w:val="decimal"/>
      <w:lvlText w:val="%4."/>
      <w:lvlJc w:val="left"/>
      <w:pPr>
        <w:ind w:left="4104" w:hanging="360"/>
      </w:pPr>
      <w:rPr>
        <w:rFonts w:cs="Times New Roman"/>
      </w:rPr>
    </w:lvl>
    <w:lvl w:ilvl="4" w:tplc="1C090019" w:tentative="1">
      <w:start w:val="1"/>
      <w:numFmt w:val="lowerLetter"/>
      <w:lvlText w:val="%5."/>
      <w:lvlJc w:val="left"/>
      <w:pPr>
        <w:ind w:left="4824" w:hanging="360"/>
      </w:pPr>
      <w:rPr>
        <w:rFonts w:cs="Times New Roman"/>
      </w:rPr>
    </w:lvl>
    <w:lvl w:ilvl="5" w:tplc="1C09001B" w:tentative="1">
      <w:start w:val="1"/>
      <w:numFmt w:val="lowerRoman"/>
      <w:lvlText w:val="%6."/>
      <w:lvlJc w:val="right"/>
      <w:pPr>
        <w:ind w:left="5544" w:hanging="180"/>
      </w:pPr>
      <w:rPr>
        <w:rFonts w:cs="Times New Roman"/>
      </w:rPr>
    </w:lvl>
    <w:lvl w:ilvl="6" w:tplc="1C09000F" w:tentative="1">
      <w:start w:val="1"/>
      <w:numFmt w:val="decimal"/>
      <w:lvlText w:val="%7."/>
      <w:lvlJc w:val="left"/>
      <w:pPr>
        <w:ind w:left="6264" w:hanging="360"/>
      </w:pPr>
      <w:rPr>
        <w:rFonts w:cs="Times New Roman"/>
      </w:rPr>
    </w:lvl>
    <w:lvl w:ilvl="7" w:tplc="1C090019" w:tentative="1">
      <w:start w:val="1"/>
      <w:numFmt w:val="lowerLetter"/>
      <w:lvlText w:val="%8."/>
      <w:lvlJc w:val="left"/>
      <w:pPr>
        <w:ind w:left="6984" w:hanging="360"/>
      </w:pPr>
      <w:rPr>
        <w:rFonts w:cs="Times New Roman"/>
      </w:rPr>
    </w:lvl>
    <w:lvl w:ilvl="8" w:tplc="1C09001B" w:tentative="1">
      <w:start w:val="1"/>
      <w:numFmt w:val="lowerRoman"/>
      <w:lvlText w:val="%9."/>
      <w:lvlJc w:val="right"/>
      <w:pPr>
        <w:ind w:left="7704" w:hanging="180"/>
      </w:pPr>
      <w:rPr>
        <w:rFonts w:cs="Times New Roman"/>
      </w:rPr>
    </w:lvl>
  </w:abstractNum>
  <w:abstractNum w:abstractNumId="2">
    <w:nsid w:val="50C67826"/>
    <w:multiLevelType w:val="hybridMultilevel"/>
    <w:tmpl w:val="6EC4CBF4"/>
    <w:lvl w:ilvl="0" w:tplc="DEC6DBF8">
      <w:start w:val="1"/>
      <w:numFmt w:val="lowerLetter"/>
      <w:lvlText w:val="(%1)"/>
      <w:lvlJc w:val="left"/>
      <w:pPr>
        <w:ind w:left="1224" w:hanging="360"/>
      </w:pPr>
      <w:rPr>
        <w:rFonts w:cs="Times New Roman" w:hint="default"/>
      </w:rPr>
    </w:lvl>
    <w:lvl w:ilvl="1" w:tplc="1C090019" w:tentative="1">
      <w:start w:val="1"/>
      <w:numFmt w:val="lowerLetter"/>
      <w:lvlText w:val="%2."/>
      <w:lvlJc w:val="left"/>
      <w:pPr>
        <w:ind w:left="1944" w:hanging="360"/>
      </w:pPr>
      <w:rPr>
        <w:rFonts w:cs="Times New Roman"/>
      </w:rPr>
    </w:lvl>
    <w:lvl w:ilvl="2" w:tplc="1C09001B" w:tentative="1">
      <w:start w:val="1"/>
      <w:numFmt w:val="lowerRoman"/>
      <w:lvlText w:val="%3."/>
      <w:lvlJc w:val="right"/>
      <w:pPr>
        <w:ind w:left="2664" w:hanging="180"/>
      </w:pPr>
      <w:rPr>
        <w:rFonts w:cs="Times New Roman"/>
      </w:rPr>
    </w:lvl>
    <w:lvl w:ilvl="3" w:tplc="1C09000F" w:tentative="1">
      <w:start w:val="1"/>
      <w:numFmt w:val="decimal"/>
      <w:lvlText w:val="%4."/>
      <w:lvlJc w:val="left"/>
      <w:pPr>
        <w:ind w:left="3384" w:hanging="360"/>
      </w:pPr>
      <w:rPr>
        <w:rFonts w:cs="Times New Roman"/>
      </w:rPr>
    </w:lvl>
    <w:lvl w:ilvl="4" w:tplc="1C090019" w:tentative="1">
      <w:start w:val="1"/>
      <w:numFmt w:val="lowerLetter"/>
      <w:lvlText w:val="%5."/>
      <w:lvlJc w:val="left"/>
      <w:pPr>
        <w:ind w:left="4104" w:hanging="360"/>
      </w:pPr>
      <w:rPr>
        <w:rFonts w:cs="Times New Roman"/>
      </w:rPr>
    </w:lvl>
    <w:lvl w:ilvl="5" w:tplc="1C09001B" w:tentative="1">
      <w:start w:val="1"/>
      <w:numFmt w:val="lowerRoman"/>
      <w:lvlText w:val="%6."/>
      <w:lvlJc w:val="right"/>
      <w:pPr>
        <w:ind w:left="4824" w:hanging="180"/>
      </w:pPr>
      <w:rPr>
        <w:rFonts w:cs="Times New Roman"/>
      </w:rPr>
    </w:lvl>
    <w:lvl w:ilvl="6" w:tplc="1C09000F" w:tentative="1">
      <w:start w:val="1"/>
      <w:numFmt w:val="decimal"/>
      <w:lvlText w:val="%7."/>
      <w:lvlJc w:val="left"/>
      <w:pPr>
        <w:ind w:left="5544" w:hanging="360"/>
      </w:pPr>
      <w:rPr>
        <w:rFonts w:cs="Times New Roman"/>
      </w:rPr>
    </w:lvl>
    <w:lvl w:ilvl="7" w:tplc="1C090019" w:tentative="1">
      <w:start w:val="1"/>
      <w:numFmt w:val="lowerLetter"/>
      <w:lvlText w:val="%8."/>
      <w:lvlJc w:val="left"/>
      <w:pPr>
        <w:ind w:left="6264" w:hanging="360"/>
      </w:pPr>
      <w:rPr>
        <w:rFonts w:cs="Times New Roman"/>
      </w:rPr>
    </w:lvl>
    <w:lvl w:ilvl="8" w:tplc="1C09001B" w:tentative="1">
      <w:start w:val="1"/>
      <w:numFmt w:val="lowerRoman"/>
      <w:lvlText w:val="%9."/>
      <w:lvlJc w:val="right"/>
      <w:pPr>
        <w:ind w:left="6984" w:hanging="180"/>
      </w:pPr>
      <w:rPr>
        <w:rFonts w:cs="Times New Roman"/>
      </w:rPr>
    </w:lvl>
  </w:abstractNum>
  <w:abstractNum w:abstractNumId="3">
    <w:nsid w:val="63D361DC"/>
    <w:multiLevelType w:val="hybridMultilevel"/>
    <w:tmpl w:val="CAA0D7A2"/>
    <w:lvl w:ilvl="0" w:tplc="87EE5686">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2A56"/>
    <w:rsid w:val="00020C04"/>
    <w:rsid w:val="00052A56"/>
    <w:rsid w:val="000C48D8"/>
    <w:rsid w:val="000F3B14"/>
    <w:rsid w:val="00113575"/>
    <w:rsid w:val="001433AE"/>
    <w:rsid w:val="0015727B"/>
    <w:rsid w:val="001713D2"/>
    <w:rsid w:val="001B0917"/>
    <w:rsid w:val="001E3FB5"/>
    <w:rsid w:val="001E6902"/>
    <w:rsid w:val="002471D0"/>
    <w:rsid w:val="0025506C"/>
    <w:rsid w:val="002A44B6"/>
    <w:rsid w:val="002F6E86"/>
    <w:rsid w:val="0032504D"/>
    <w:rsid w:val="003421BD"/>
    <w:rsid w:val="003A3D58"/>
    <w:rsid w:val="003F692A"/>
    <w:rsid w:val="00411C96"/>
    <w:rsid w:val="00422F6C"/>
    <w:rsid w:val="00426835"/>
    <w:rsid w:val="004A579D"/>
    <w:rsid w:val="00504976"/>
    <w:rsid w:val="005141B3"/>
    <w:rsid w:val="00574932"/>
    <w:rsid w:val="00574E19"/>
    <w:rsid w:val="0058594E"/>
    <w:rsid w:val="005A198A"/>
    <w:rsid w:val="00613FC6"/>
    <w:rsid w:val="006239F1"/>
    <w:rsid w:val="00624D20"/>
    <w:rsid w:val="0062770E"/>
    <w:rsid w:val="0064275F"/>
    <w:rsid w:val="00647EF2"/>
    <w:rsid w:val="00653A85"/>
    <w:rsid w:val="007118EA"/>
    <w:rsid w:val="00726A9C"/>
    <w:rsid w:val="007359BF"/>
    <w:rsid w:val="007770C0"/>
    <w:rsid w:val="007914E0"/>
    <w:rsid w:val="007A32AF"/>
    <w:rsid w:val="007B1BA1"/>
    <w:rsid w:val="00835937"/>
    <w:rsid w:val="00877FAD"/>
    <w:rsid w:val="00891265"/>
    <w:rsid w:val="008C2559"/>
    <w:rsid w:val="00911717"/>
    <w:rsid w:val="009163A5"/>
    <w:rsid w:val="00942E6B"/>
    <w:rsid w:val="00953363"/>
    <w:rsid w:val="0096007E"/>
    <w:rsid w:val="009A18A7"/>
    <w:rsid w:val="009F7FD6"/>
    <w:rsid w:val="00A15A96"/>
    <w:rsid w:val="00A27751"/>
    <w:rsid w:val="00A525F0"/>
    <w:rsid w:val="00A72B9B"/>
    <w:rsid w:val="00A867CE"/>
    <w:rsid w:val="00A901EF"/>
    <w:rsid w:val="00AD00CE"/>
    <w:rsid w:val="00AD4963"/>
    <w:rsid w:val="00AD5C9B"/>
    <w:rsid w:val="00AE687C"/>
    <w:rsid w:val="00B30E76"/>
    <w:rsid w:val="00B447E6"/>
    <w:rsid w:val="00B52B64"/>
    <w:rsid w:val="00B74FF3"/>
    <w:rsid w:val="00B77F67"/>
    <w:rsid w:val="00BD31C6"/>
    <w:rsid w:val="00BE09E0"/>
    <w:rsid w:val="00C173A5"/>
    <w:rsid w:val="00C25C7E"/>
    <w:rsid w:val="00C312EA"/>
    <w:rsid w:val="00C44C35"/>
    <w:rsid w:val="00C60822"/>
    <w:rsid w:val="00CC2F3E"/>
    <w:rsid w:val="00CD7386"/>
    <w:rsid w:val="00CE71C3"/>
    <w:rsid w:val="00DB03AA"/>
    <w:rsid w:val="00DB2463"/>
    <w:rsid w:val="00DC41DF"/>
    <w:rsid w:val="00DD5296"/>
    <w:rsid w:val="00DE2BB2"/>
    <w:rsid w:val="00DF0D26"/>
    <w:rsid w:val="00E03887"/>
    <w:rsid w:val="00E77DF6"/>
    <w:rsid w:val="00E82070"/>
    <w:rsid w:val="00E8352B"/>
    <w:rsid w:val="00EA6A49"/>
    <w:rsid w:val="00F05952"/>
    <w:rsid w:val="00F51C17"/>
    <w:rsid w:val="00F5293B"/>
    <w:rsid w:val="00F5571A"/>
    <w:rsid w:val="00F72897"/>
    <w:rsid w:val="00F87EA6"/>
    <w:rsid w:val="00FC206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AE"/>
    <w:rPr>
      <w:sz w:val="24"/>
      <w:szCs w:val="24"/>
    </w:rPr>
  </w:style>
  <w:style w:type="paragraph" w:styleId="Heading1">
    <w:name w:val="heading 1"/>
    <w:basedOn w:val="Normal"/>
    <w:next w:val="Normal"/>
    <w:link w:val="Heading1Char"/>
    <w:uiPriority w:val="99"/>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7023"/>
    <w:rPr>
      <w:rFonts w:asciiTheme="majorHAnsi" w:eastAsiaTheme="majorEastAsia" w:hAnsiTheme="majorHAnsi" w:cstheme="majorBidi"/>
      <w:b/>
      <w:bCs/>
      <w:kern w:val="32"/>
      <w:sz w:val="32"/>
      <w:szCs w:val="32"/>
    </w:rPr>
  </w:style>
  <w:style w:type="paragraph" w:styleId="BodyTextIndent">
    <w:name w:val="Body Text Indent"/>
    <w:basedOn w:val="Normal"/>
    <w:link w:val="BodyTextIndentChar"/>
    <w:uiPriority w:val="99"/>
    <w:rsid w:val="001433AE"/>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uiPriority w:val="99"/>
    <w:locked/>
    <w:rsid w:val="00647EF2"/>
    <w:rPr>
      <w:sz w:val="24"/>
      <w:lang w:val="en-US" w:eastAsia="en-US"/>
    </w:rPr>
  </w:style>
  <w:style w:type="paragraph" w:customStyle="1" w:styleId="Char">
    <w:name w:val="Char"/>
    <w:basedOn w:val="Normal"/>
    <w:uiPriority w:val="99"/>
    <w:rsid w:val="001433AE"/>
    <w:rPr>
      <w:rFonts w:ascii="Arial" w:hAnsi="Arial" w:cs="Arial"/>
      <w:sz w:val="22"/>
      <w:szCs w:val="22"/>
      <w:lang w:val="en-AU"/>
    </w:rPr>
  </w:style>
  <w:style w:type="paragraph" w:styleId="BodyTextIndent2">
    <w:name w:val="Body Text Indent 2"/>
    <w:basedOn w:val="Normal"/>
    <w:link w:val="BodyTextIndent2Char"/>
    <w:uiPriority w:val="99"/>
    <w:rsid w:val="002F6E86"/>
    <w:pPr>
      <w:spacing w:after="120" w:line="480" w:lineRule="auto"/>
      <w:ind w:left="283"/>
    </w:pPr>
  </w:style>
  <w:style w:type="character" w:customStyle="1" w:styleId="BodyTextIndent2Char">
    <w:name w:val="Body Text Indent 2 Char"/>
    <w:basedOn w:val="DefaultParagraphFont"/>
    <w:link w:val="BodyTextIndent2"/>
    <w:uiPriority w:val="99"/>
    <w:semiHidden/>
    <w:rsid w:val="003D7023"/>
    <w:rPr>
      <w:sz w:val="24"/>
      <w:szCs w:val="24"/>
    </w:rPr>
  </w:style>
  <w:style w:type="character" w:styleId="CommentReference">
    <w:name w:val="annotation reference"/>
    <w:basedOn w:val="DefaultParagraphFont"/>
    <w:uiPriority w:val="99"/>
    <w:rsid w:val="00CD7386"/>
    <w:rPr>
      <w:rFonts w:cs="Times New Roman"/>
      <w:sz w:val="16"/>
      <w:szCs w:val="16"/>
    </w:rPr>
  </w:style>
  <w:style w:type="paragraph" w:styleId="CommentText">
    <w:name w:val="annotation text"/>
    <w:basedOn w:val="Normal"/>
    <w:link w:val="CommentTextChar"/>
    <w:uiPriority w:val="99"/>
    <w:rsid w:val="00CD7386"/>
    <w:rPr>
      <w:sz w:val="20"/>
      <w:szCs w:val="20"/>
    </w:rPr>
  </w:style>
  <w:style w:type="character" w:customStyle="1" w:styleId="CommentTextChar">
    <w:name w:val="Comment Text Char"/>
    <w:basedOn w:val="DefaultParagraphFont"/>
    <w:link w:val="CommentText"/>
    <w:uiPriority w:val="99"/>
    <w:locked/>
    <w:rsid w:val="00CD7386"/>
    <w:rPr>
      <w:rFonts w:cs="Times New Roman"/>
      <w:lang w:val="en-US" w:eastAsia="en-US"/>
    </w:rPr>
  </w:style>
  <w:style w:type="paragraph" w:styleId="CommentSubject">
    <w:name w:val="annotation subject"/>
    <w:basedOn w:val="CommentText"/>
    <w:next w:val="CommentText"/>
    <w:link w:val="CommentSubjectChar"/>
    <w:uiPriority w:val="99"/>
    <w:rsid w:val="00CD7386"/>
    <w:rPr>
      <w:b/>
      <w:bCs/>
    </w:rPr>
  </w:style>
  <w:style w:type="character" w:customStyle="1" w:styleId="CommentSubjectChar">
    <w:name w:val="Comment Subject Char"/>
    <w:basedOn w:val="CommentTextChar"/>
    <w:link w:val="CommentSubject"/>
    <w:uiPriority w:val="99"/>
    <w:locked/>
    <w:rsid w:val="00CD7386"/>
    <w:rPr>
      <w:b/>
      <w:bCs/>
    </w:rPr>
  </w:style>
  <w:style w:type="paragraph" w:styleId="BalloonText">
    <w:name w:val="Balloon Text"/>
    <w:basedOn w:val="Normal"/>
    <w:link w:val="BalloonTextChar"/>
    <w:uiPriority w:val="99"/>
    <w:rsid w:val="00CD7386"/>
    <w:rPr>
      <w:rFonts w:ascii="Tahoma" w:hAnsi="Tahoma" w:cs="Tahoma"/>
      <w:sz w:val="16"/>
      <w:szCs w:val="16"/>
    </w:rPr>
  </w:style>
  <w:style w:type="character" w:customStyle="1" w:styleId="BalloonTextChar">
    <w:name w:val="Balloon Text Char"/>
    <w:basedOn w:val="DefaultParagraphFont"/>
    <w:link w:val="BalloonText"/>
    <w:uiPriority w:val="99"/>
    <w:locked/>
    <w:rsid w:val="00CD7386"/>
    <w:rPr>
      <w:rFonts w:ascii="Tahoma" w:hAnsi="Tahoma" w:cs="Tahoma"/>
      <w:sz w:val="16"/>
      <w:szCs w:val="16"/>
      <w:lang w:val="en-US" w:eastAsia="en-US"/>
    </w:rPr>
  </w:style>
  <w:style w:type="character" w:styleId="Hyperlink">
    <w:name w:val="Hyperlink"/>
    <w:basedOn w:val="DefaultParagraphFont"/>
    <w:uiPriority w:val="99"/>
    <w:rsid w:val="004A579D"/>
    <w:rPr>
      <w:rFonts w:cs="Times New Roman"/>
      <w:color w:val="0000FF"/>
      <w:u w:val="single"/>
    </w:rPr>
  </w:style>
  <w:style w:type="paragraph" w:styleId="ListParagraph">
    <w:name w:val="List Paragraph"/>
    <w:basedOn w:val="Normal"/>
    <w:uiPriority w:val="99"/>
    <w:qFormat/>
    <w:rsid w:val="00C173A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478</Words>
  <Characters>2729</Characters>
  <Application>Microsoft Office Outlook</Application>
  <DocSecurity>0</DocSecurity>
  <Lines>0</Lines>
  <Paragraphs>0</Paragraphs>
  <ScaleCrop>false</ScaleCrop>
  <Company>National Treasury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Lindile Batwa</dc:creator>
  <cp:keywords/>
  <dc:description/>
  <cp:lastModifiedBy>schuene</cp:lastModifiedBy>
  <cp:revision>2</cp:revision>
  <cp:lastPrinted>2015-08-11T06:46:00Z</cp:lastPrinted>
  <dcterms:created xsi:type="dcterms:W3CDTF">2015-08-26T09:47:00Z</dcterms:created>
  <dcterms:modified xsi:type="dcterms:W3CDTF">2015-08-26T09:47:00Z</dcterms:modified>
</cp:coreProperties>
</file>