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38" w:rsidRPr="00AD29C5" w:rsidRDefault="004C4538" w:rsidP="004C4538">
      <w:pPr>
        <w:tabs>
          <w:tab w:val="left" w:pos="1418"/>
        </w:tabs>
        <w:spacing w:before="100" w:beforeAutospacing="1" w:after="100" w:afterAutospacing="1" w:line="240" w:lineRule="auto"/>
        <w:jc w:val="both"/>
        <w:rPr>
          <w:rFonts w:ascii="Arial" w:eastAsia="Times New Roman" w:hAnsi="Arial" w:cs="Arial"/>
          <w:b/>
          <w:sz w:val="24"/>
          <w:szCs w:val="24"/>
          <w:lang w:val="en-US"/>
        </w:rPr>
      </w:pPr>
      <w:r w:rsidRPr="00AD29C5">
        <w:rPr>
          <w:rFonts w:ascii="Arial" w:eastAsia="Times New Roman" w:hAnsi="Arial" w:cs="Arial"/>
          <w:b/>
          <w:noProof/>
          <w:sz w:val="24"/>
          <w:szCs w:val="24"/>
          <w:lang w:val="en-US"/>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-659130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324610"/>
                    </a:xfrm>
                    <a:prstGeom prst="rect">
                      <a:avLst/>
                    </a:prstGeom>
                    <a:noFill/>
                  </pic:spPr>
                </pic:pic>
              </a:graphicData>
            </a:graphic>
          </wp:anchor>
        </w:drawing>
      </w:r>
    </w:p>
    <w:p w:rsidR="004C4538" w:rsidRPr="00AD29C5" w:rsidRDefault="004C4538" w:rsidP="004C4538">
      <w:pPr>
        <w:tabs>
          <w:tab w:val="left" w:pos="1418"/>
        </w:tabs>
        <w:spacing w:before="100" w:beforeAutospacing="1" w:after="100" w:afterAutospacing="1" w:line="240" w:lineRule="auto"/>
        <w:jc w:val="both"/>
        <w:rPr>
          <w:rFonts w:ascii="Arial" w:eastAsia="Times New Roman" w:hAnsi="Arial" w:cs="Arial"/>
          <w:b/>
          <w:sz w:val="24"/>
          <w:szCs w:val="24"/>
          <w:lang w:val="en-US"/>
        </w:rPr>
      </w:pPr>
    </w:p>
    <w:p w:rsidR="004C4538" w:rsidRPr="00AD29C5" w:rsidRDefault="004C4538" w:rsidP="004C4538">
      <w:pPr>
        <w:tabs>
          <w:tab w:val="left" w:pos="1418"/>
        </w:tabs>
        <w:spacing w:after="0" w:line="360" w:lineRule="auto"/>
        <w:jc w:val="center"/>
        <w:rPr>
          <w:rFonts w:ascii="Arial" w:eastAsia="Times New Roman" w:hAnsi="Arial" w:cs="Arial"/>
          <w:b/>
          <w:color w:val="003300"/>
          <w:sz w:val="24"/>
          <w:szCs w:val="24"/>
          <w:lang w:val="en-US"/>
        </w:rPr>
      </w:pPr>
      <w:r w:rsidRPr="00AD29C5">
        <w:rPr>
          <w:rFonts w:ascii="Arial" w:eastAsia="Times New Roman" w:hAnsi="Arial" w:cs="Arial"/>
          <w:b/>
          <w:color w:val="003300"/>
          <w:sz w:val="24"/>
          <w:szCs w:val="24"/>
          <w:lang w:val="en-US"/>
        </w:rPr>
        <w:t>MINISTER IN THE PRESIDENCY:  PLANNING, MONITORING AND EVALUATION</w:t>
      </w:r>
    </w:p>
    <w:p w:rsidR="004C4538" w:rsidRPr="00AD29C5" w:rsidRDefault="004C4538" w:rsidP="004C4538">
      <w:pPr>
        <w:tabs>
          <w:tab w:val="left" w:pos="1418"/>
        </w:tabs>
        <w:spacing w:after="0" w:line="360" w:lineRule="auto"/>
        <w:jc w:val="center"/>
        <w:rPr>
          <w:rFonts w:ascii="Arial" w:eastAsia="Times New Roman" w:hAnsi="Arial" w:cs="Arial"/>
          <w:b/>
          <w:color w:val="003300"/>
          <w:sz w:val="24"/>
          <w:szCs w:val="24"/>
          <w:lang w:val="en-US"/>
        </w:rPr>
      </w:pPr>
      <w:r w:rsidRPr="00AD29C5">
        <w:rPr>
          <w:rFonts w:ascii="Arial" w:eastAsia="Times New Roman" w:hAnsi="Arial" w:cs="Arial"/>
          <w:b/>
          <w:color w:val="003300"/>
          <w:sz w:val="24"/>
          <w:szCs w:val="24"/>
          <w:lang w:val="en-US"/>
        </w:rPr>
        <w:t>REPUBLIC OF SOUTH AFRICA</w:t>
      </w:r>
    </w:p>
    <w:p w:rsidR="004C4538" w:rsidRPr="00AD29C5" w:rsidRDefault="004C4538" w:rsidP="004C4538">
      <w:pPr>
        <w:tabs>
          <w:tab w:val="left" w:pos="1418"/>
        </w:tabs>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AD29C5">
        <w:rPr>
          <w:rFonts w:ascii="Arial" w:eastAsia="Times New Roman" w:hAnsi="Arial" w:cs="Arial"/>
          <w:b/>
          <w:snapToGrid w:val="0"/>
          <w:color w:val="000000"/>
          <w:sz w:val="24"/>
          <w:szCs w:val="24"/>
          <w:lang w:val="en-GB"/>
        </w:rPr>
        <w:t>NATIONAL ASSEMBLY</w:t>
      </w:r>
    </w:p>
    <w:p w:rsidR="004C4538" w:rsidRPr="00AD29C5" w:rsidRDefault="004C4538" w:rsidP="004C4538">
      <w:pPr>
        <w:tabs>
          <w:tab w:val="left" w:pos="1418"/>
        </w:tabs>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AD29C5">
        <w:rPr>
          <w:rFonts w:ascii="Arial" w:eastAsia="Times New Roman" w:hAnsi="Arial" w:cs="Arial"/>
          <w:b/>
          <w:snapToGrid w:val="0"/>
          <w:color w:val="000000"/>
          <w:sz w:val="24"/>
          <w:szCs w:val="24"/>
          <w:lang w:val="en-GB"/>
        </w:rPr>
        <w:t>QUESTION FOR WRITTEN REPLY</w:t>
      </w:r>
    </w:p>
    <w:p w:rsidR="004C4538" w:rsidRPr="00AD29C5" w:rsidRDefault="004C4538" w:rsidP="004C4538">
      <w:pPr>
        <w:spacing w:before="100" w:beforeAutospacing="1" w:after="100" w:afterAutospacing="1" w:line="276" w:lineRule="auto"/>
        <w:ind w:left="720" w:hanging="720"/>
        <w:jc w:val="center"/>
        <w:outlineLvl w:val="0"/>
        <w:rPr>
          <w:rFonts w:ascii="Arial" w:eastAsia="Times New Roman" w:hAnsi="Arial" w:cs="Arial"/>
          <w:b/>
          <w:snapToGrid w:val="0"/>
          <w:sz w:val="24"/>
          <w:szCs w:val="24"/>
          <w:lang w:val="en-GB"/>
        </w:rPr>
      </w:pPr>
      <w:r w:rsidRPr="00AD29C5">
        <w:rPr>
          <w:rFonts w:ascii="Arial" w:eastAsia="Times New Roman" w:hAnsi="Arial" w:cs="Arial"/>
          <w:b/>
          <w:snapToGrid w:val="0"/>
          <w:sz w:val="24"/>
          <w:szCs w:val="24"/>
          <w:lang w:val="en-GB"/>
        </w:rPr>
        <w:t>QUESTION NUMBER:</w:t>
      </w:r>
      <w:r w:rsidRPr="00AD29C5">
        <w:rPr>
          <w:rFonts w:ascii="Arial" w:eastAsia="Times New Roman" w:hAnsi="Arial" w:cs="Arial"/>
          <w:b/>
          <w:snapToGrid w:val="0"/>
          <w:sz w:val="24"/>
          <w:szCs w:val="24"/>
          <w:lang w:val="en-GB"/>
        </w:rPr>
        <w:tab/>
        <w:t>2</w:t>
      </w:r>
      <w:r w:rsidR="007F6D0E" w:rsidRPr="00AD29C5">
        <w:rPr>
          <w:rFonts w:ascii="Arial" w:eastAsia="Times New Roman" w:hAnsi="Arial" w:cs="Arial"/>
          <w:b/>
          <w:snapToGrid w:val="0"/>
          <w:sz w:val="24"/>
          <w:szCs w:val="24"/>
          <w:lang w:val="en-GB"/>
        </w:rPr>
        <w:t>760</w:t>
      </w:r>
    </w:p>
    <w:p w:rsidR="004C4538" w:rsidRPr="00AD29C5" w:rsidRDefault="004C4538" w:rsidP="004C4538">
      <w:pPr>
        <w:spacing w:after="120" w:line="360" w:lineRule="auto"/>
        <w:jc w:val="center"/>
        <w:rPr>
          <w:rFonts w:ascii="Arial" w:eastAsia="Times New Roman" w:hAnsi="Arial" w:cs="Arial"/>
          <w:b/>
          <w:snapToGrid w:val="0"/>
          <w:sz w:val="24"/>
          <w:szCs w:val="24"/>
          <w:lang w:val="en-GB"/>
        </w:rPr>
      </w:pPr>
      <w:r w:rsidRPr="00AD29C5">
        <w:rPr>
          <w:rFonts w:ascii="Arial" w:eastAsia="Times New Roman" w:hAnsi="Arial" w:cs="Arial"/>
          <w:b/>
          <w:snapToGrid w:val="0"/>
          <w:sz w:val="24"/>
          <w:szCs w:val="24"/>
          <w:lang w:val="en-GB"/>
        </w:rPr>
        <w:t xml:space="preserve">DATE OF PUBLICATION IN INTERNAL QUESTION PAPER: </w:t>
      </w:r>
    </w:p>
    <w:p w:rsidR="004C4538" w:rsidRPr="00AD29C5" w:rsidRDefault="004C4538" w:rsidP="004C4538">
      <w:pPr>
        <w:pBdr>
          <w:bottom w:val="single" w:sz="12" w:space="1" w:color="auto"/>
        </w:pBdr>
        <w:spacing w:after="0" w:line="276" w:lineRule="auto"/>
        <w:jc w:val="center"/>
        <w:rPr>
          <w:rFonts w:ascii="Arial" w:eastAsia="Times New Roman" w:hAnsi="Arial" w:cs="Arial"/>
          <w:b/>
          <w:snapToGrid w:val="0"/>
          <w:sz w:val="24"/>
          <w:szCs w:val="24"/>
          <w:lang w:val="en-GB"/>
        </w:rPr>
      </w:pPr>
      <w:r w:rsidRPr="00AD29C5">
        <w:rPr>
          <w:rFonts w:ascii="Arial" w:eastAsia="Times New Roman" w:hAnsi="Arial" w:cs="Arial"/>
          <w:b/>
          <w:snapToGrid w:val="0"/>
          <w:sz w:val="24"/>
          <w:szCs w:val="24"/>
          <w:lang w:val="en-GB"/>
        </w:rPr>
        <w:t xml:space="preserve">INTERNAL QUESTION PAPER NUMBER:  </w:t>
      </w:r>
    </w:p>
    <w:p w:rsidR="002D7B20" w:rsidRPr="00AD29C5" w:rsidRDefault="002D7B20">
      <w:pPr>
        <w:rPr>
          <w:rFonts w:ascii="Arial" w:hAnsi="Arial" w:cs="Arial"/>
          <w:sz w:val="24"/>
          <w:szCs w:val="24"/>
        </w:rPr>
      </w:pPr>
    </w:p>
    <w:p w:rsidR="007F6D0E" w:rsidRPr="00AD29C5" w:rsidRDefault="007F6D0E" w:rsidP="007F6D0E">
      <w:pPr>
        <w:spacing w:before="100" w:beforeAutospacing="1" w:after="100" w:afterAutospacing="1" w:line="240" w:lineRule="auto"/>
        <w:ind w:left="720" w:hanging="720"/>
        <w:jc w:val="both"/>
        <w:outlineLvl w:val="0"/>
        <w:rPr>
          <w:rFonts w:ascii="Arial" w:hAnsi="Arial" w:cs="Arial"/>
          <w:sz w:val="24"/>
          <w:szCs w:val="24"/>
        </w:rPr>
      </w:pPr>
      <w:r w:rsidRPr="00AD29C5">
        <w:rPr>
          <w:rFonts w:ascii="Arial" w:hAnsi="Arial" w:cs="Arial"/>
          <w:b/>
          <w:sz w:val="24"/>
          <w:szCs w:val="24"/>
        </w:rPr>
        <w:t>2760.</w:t>
      </w:r>
      <w:r w:rsidRPr="00AD29C5">
        <w:rPr>
          <w:rFonts w:ascii="Arial" w:hAnsi="Arial" w:cs="Arial"/>
          <w:b/>
          <w:sz w:val="24"/>
          <w:szCs w:val="24"/>
        </w:rPr>
        <w:tab/>
        <w:t>Mr D J Maynier (DA) to ask the Minister in The Presidency:</w:t>
      </w:r>
    </w:p>
    <w:p w:rsidR="007F6D0E" w:rsidRPr="00AD29C5" w:rsidRDefault="007F6D0E" w:rsidP="00567ADE">
      <w:pPr>
        <w:spacing w:before="100" w:beforeAutospacing="1" w:after="100" w:afterAutospacing="1" w:line="240" w:lineRule="auto"/>
        <w:ind w:left="1440" w:hanging="720"/>
        <w:jc w:val="both"/>
        <w:rPr>
          <w:rFonts w:ascii="Arial" w:hAnsi="Arial" w:cs="Arial"/>
          <w:sz w:val="24"/>
          <w:szCs w:val="24"/>
        </w:rPr>
      </w:pPr>
      <w:r w:rsidRPr="00AD29C5">
        <w:rPr>
          <w:rFonts w:ascii="Arial" w:hAnsi="Arial" w:cs="Arial"/>
          <w:color w:val="000000"/>
          <w:sz w:val="24"/>
          <w:szCs w:val="24"/>
        </w:rPr>
        <w:t>(1)</w:t>
      </w:r>
      <w:r w:rsidRPr="00AD29C5">
        <w:rPr>
          <w:rFonts w:ascii="Arial" w:hAnsi="Arial" w:cs="Arial"/>
          <w:color w:val="000000"/>
          <w:sz w:val="24"/>
          <w:szCs w:val="24"/>
        </w:rPr>
        <w:tab/>
      </w:r>
      <w:r w:rsidRPr="00AD29C5">
        <w:rPr>
          <w:rFonts w:ascii="Arial" w:hAnsi="Arial" w:cs="Arial"/>
          <w:sz w:val="24"/>
          <w:szCs w:val="24"/>
        </w:rPr>
        <w:t>Whether each intervention as set out in the Inclusive Growth Action Plan, which was released on or around 13 July 2017, was achieved by each responsible authority; if not, (a) which intervention was not achieved, (b) which authority is responsible for achieving the specified intervention and (c) why was the specified intervention not achieved;</w:t>
      </w:r>
    </w:p>
    <w:p w:rsidR="007F6D0E" w:rsidRPr="00AD29C5" w:rsidRDefault="007F6D0E" w:rsidP="00567ADE">
      <w:pPr>
        <w:spacing w:before="100" w:beforeAutospacing="1" w:after="100" w:afterAutospacing="1" w:line="240" w:lineRule="auto"/>
        <w:ind w:left="1440" w:hanging="720"/>
        <w:jc w:val="both"/>
        <w:rPr>
          <w:rFonts w:ascii="Arial" w:hAnsi="Arial" w:cs="Arial"/>
          <w:sz w:val="24"/>
          <w:szCs w:val="24"/>
        </w:rPr>
      </w:pPr>
      <w:r w:rsidRPr="00AD29C5">
        <w:rPr>
          <w:rFonts w:ascii="Arial" w:hAnsi="Arial" w:cs="Arial"/>
          <w:sz w:val="24"/>
          <w:szCs w:val="24"/>
        </w:rPr>
        <w:t>(2)</w:t>
      </w:r>
      <w:r w:rsidRPr="00AD29C5">
        <w:rPr>
          <w:rFonts w:ascii="Arial" w:hAnsi="Arial" w:cs="Arial"/>
          <w:sz w:val="24"/>
          <w:szCs w:val="24"/>
        </w:rPr>
        <w:tab/>
        <w:t>whether plans have been put in place to ensure that the specified interventions will be achieved; if not, why not; if so, what are the relevant details?</w:t>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Pr="00AD29C5">
        <w:rPr>
          <w:rFonts w:ascii="Arial" w:hAnsi="Arial" w:cs="Arial"/>
          <w:sz w:val="24"/>
          <w:szCs w:val="24"/>
        </w:rPr>
        <w:tab/>
      </w:r>
      <w:r w:rsidR="00567ADE" w:rsidRPr="00AD29C5">
        <w:rPr>
          <w:rFonts w:ascii="Arial" w:hAnsi="Arial" w:cs="Arial"/>
          <w:sz w:val="24"/>
          <w:szCs w:val="24"/>
        </w:rPr>
        <w:t xml:space="preserve">                                                </w:t>
      </w:r>
      <w:r w:rsidRPr="00AD29C5">
        <w:rPr>
          <w:rFonts w:ascii="Arial" w:hAnsi="Arial" w:cs="Arial"/>
          <w:sz w:val="24"/>
          <w:szCs w:val="24"/>
        </w:rPr>
        <w:t>NW3053E</w:t>
      </w:r>
    </w:p>
    <w:p w:rsidR="00567ADE" w:rsidRPr="00AD29C5" w:rsidRDefault="00567ADE" w:rsidP="002D7B20">
      <w:pPr>
        <w:rPr>
          <w:rFonts w:ascii="Arial" w:hAnsi="Arial" w:cs="Arial"/>
          <w:b/>
          <w:sz w:val="24"/>
          <w:szCs w:val="24"/>
        </w:rPr>
      </w:pPr>
    </w:p>
    <w:p w:rsidR="00567ADE" w:rsidRPr="00AD29C5" w:rsidRDefault="00567ADE" w:rsidP="002D7B20">
      <w:pPr>
        <w:rPr>
          <w:rFonts w:ascii="Arial" w:hAnsi="Arial" w:cs="Arial"/>
          <w:b/>
          <w:sz w:val="24"/>
          <w:szCs w:val="24"/>
        </w:rPr>
      </w:pPr>
    </w:p>
    <w:p w:rsidR="002D7B20" w:rsidRPr="00AD29C5" w:rsidRDefault="008D1695" w:rsidP="00E91653">
      <w:pPr>
        <w:ind w:firstLine="360"/>
        <w:rPr>
          <w:rFonts w:ascii="Arial" w:hAnsi="Arial" w:cs="Arial"/>
          <w:b/>
          <w:sz w:val="24"/>
          <w:szCs w:val="24"/>
        </w:rPr>
      </w:pPr>
      <w:r w:rsidRPr="00AD29C5">
        <w:rPr>
          <w:rFonts w:ascii="Arial" w:hAnsi="Arial" w:cs="Arial"/>
          <w:b/>
          <w:sz w:val="24"/>
          <w:szCs w:val="24"/>
        </w:rPr>
        <w:lastRenderedPageBreak/>
        <w:t>REPLY:</w:t>
      </w:r>
    </w:p>
    <w:p w:rsidR="00737B85" w:rsidRDefault="00B675D2" w:rsidP="00B675D2">
      <w:pPr>
        <w:pStyle w:val="ListParagraph"/>
        <w:numPr>
          <w:ilvl w:val="0"/>
          <w:numId w:val="16"/>
        </w:numPr>
        <w:rPr>
          <w:rFonts w:ascii="Arial" w:hAnsi="Arial" w:cs="Arial"/>
          <w:sz w:val="24"/>
          <w:szCs w:val="24"/>
        </w:rPr>
      </w:pPr>
      <w:r>
        <w:rPr>
          <w:rFonts w:ascii="Arial" w:hAnsi="Arial" w:cs="Arial"/>
          <w:sz w:val="24"/>
          <w:szCs w:val="24"/>
        </w:rPr>
        <w:t xml:space="preserve">a), b) and c) and 2): The interventions, </w:t>
      </w:r>
      <w:r w:rsidR="00407938">
        <w:rPr>
          <w:rFonts w:ascii="Arial" w:hAnsi="Arial" w:cs="Arial"/>
          <w:sz w:val="24"/>
          <w:szCs w:val="24"/>
        </w:rPr>
        <w:t xml:space="preserve">its achievement </w:t>
      </w:r>
      <w:r>
        <w:rPr>
          <w:rFonts w:ascii="Arial" w:hAnsi="Arial" w:cs="Arial"/>
          <w:sz w:val="24"/>
          <w:szCs w:val="24"/>
        </w:rPr>
        <w:t xml:space="preserve">the responsible Departments </w:t>
      </w:r>
      <w:r w:rsidR="00407938">
        <w:rPr>
          <w:rFonts w:ascii="Arial" w:hAnsi="Arial" w:cs="Arial"/>
          <w:sz w:val="24"/>
          <w:szCs w:val="24"/>
        </w:rPr>
        <w:t xml:space="preserve">of </w:t>
      </w:r>
      <w:r w:rsidR="001C321E">
        <w:rPr>
          <w:rFonts w:ascii="Arial" w:hAnsi="Arial" w:cs="Arial"/>
          <w:sz w:val="24"/>
          <w:szCs w:val="24"/>
        </w:rPr>
        <w:t xml:space="preserve">the Inclusive Growth Action Plan </w:t>
      </w:r>
      <w:r w:rsidRPr="00B675D2">
        <w:rPr>
          <w:rFonts w:ascii="Arial" w:hAnsi="Arial" w:cs="Arial"/>
          <w:sz w:val="24"/>
          <w:szCs w:val="24"/>
        </w:rPr>
        <w:t xml:space="preserve">which was released on or around 13 July 2017, </w:t>
      </w:r>
      <w:r w:rsidR="001C321E">
        <w:rPr>
          <w:rFonts w:ascii="Arial" w:hAnsi="Arial" w:cs="Arial"/>
          <w:sz w:val="24"/>
          <w:szCs w:val="24"/>
        </w:rPr>
        <w:t xml:space="preserve">are </w:t>
      </w:r>
      <w:r>
        <w:rPr>
          <w:rFonts w:ascii="Arial" w:hAnsi="Arial" w:cs="Arial"/>
          <w:sz w:val="24"/>
          <w:szCs w:val="24"/>
        </w:rPr>
        <w:t>as follows</w:t>
      </w:r>
    </w:p>
    <w:tbl>
      <w:tblPr>
        <w:tblStyle w:val="TableGrid"/>
        <w:tblW w:w="0" w:type="auto"/>
        <w:tblInd w:w="421" w:type="dxa"/>
        <w:tblLook w:val="04A0"/>
      </w:tblPr>
      <w:tblGrid>
        <w:gridCol w:w="3260"/>
        <w:gridCol w:w="2410"/>
        <w:gridCol w:w="7654"/>
      </w:tblGrid>
      <w:tr w:rsidR="00567ADE" w:rsidRPr="00AD29C5" w:rsidTr="00567ADE">
        <w:tc>
          <w:tcPr>
            <w:tcW w:w="3260" w:type="dxa"/>
          </w:tcPr>
          <w:p w:rsidR="00567ADE" w:rsidRPr="00AD29C5" w:rsidRDefault="00567ADE" w:rsidP="002D7B20">
            <w:pPr>
              <w:rPr>
                <w:rFonts w:ascii="Arial" w:hAnsi="Arial" w:cs="Arial"/>
                <w:b/>
                <w:sz w:val="24"/>
                <w:szCs w:val="24"/>
              </w:rPr>
            </w:pPr>
            <w:r w:rsidRPr="00AD29C5">
              <w:rPr>
                <w:rFonts w:ascii="Arial" w:hAnsi="Arial" w:cs="Arial"/>
                <w:b/>
                <w:sz w:val="24"/>
                <w:szCs w:val="24"/>
              </w:rPr>
              <w:t>Intervention</w:t>
            </w:r>
          </w:p>
          <w:p w:rsidR="00567ADE" w:rsidRPr="00AD29C5" w:rsidRDefault="00567ADE" w:rsidP="002D7B20">
            <w:pPr>
              <w:rPr>
                <w:rFonts w:ascii="Arial" w:hAnsi="Arial" w:cs="Arial"/>
                <w:b/>
                <w:sz w:val="24"/>
                <w:szCs w:val="24"/>
              </w:rPr>
            </w:pPr>
          </w:p>
        </w:tc>
        <w:tc>
          <w:tcPr>
            <w:tcW w:w="2410" w:type="dxa"/>
          </w:tcPr>
          <w:p w:rsidR="00567ADE" w:rsidRPr="00AD29C5" w:rsidRDefault="00567ADE" w:rsidP="002D7B20">
            <w:pPr>
              <w:rPr>
                <w:rFonts w:ascii="Arial" w:hAnsi="Arial" w:cs="Arial"/>
                <w:b/>
                <w:sz w:val="24"/>
                <w:szCs w:val="24"/>
              </w:rPr>
            </w:pPr>
            <w:r w:rsidRPr="00AD29C5">
              <w:rPr>
                <w:rFonts w:ascii="Arial" w:hAnsi="Arial" w:cs="Arial"/>
                <w:b/>
                <w:sz w:val="24"/>
                <w:szCs w:val="24"/>
              </w:rPr>
              <w:t xml:space="preserve">Responsible </w:t>
            </w:r>
          </w:p>
          <w:p w:rsidR="00567ADE" w:rsidRPr="00AD29C5" w:rsidRDefault="00567ADE" w:rsidP="002D7B20">
            <w:pPr>
              <w:rPr>
                <w:rFonts w:ascii="Arial" w:hAnsi="Arial" w:cs="Arial"/>
                <w:b/>
                <w:sz w:val="24"/>
                <w:szCs w:val="24"/>
              </w:rPr>
            </w:pPr>
            <w:r w:rsidRPr="00AD29C5">
              <w:rPr>
                <w:rFonts w:ascii="Arial" w:hAnsi="Arial" w:cs="Arial"/>
                <w:b/>
                <w:sz w:val="24"/>
                <w:szCs w:val="24"/>
              </w:rPr>
              <w:t>authority</w:t>
            </w:r>
          </w:p>
        </w:tc>
        <w:tc>
          <w:tcPr>
            <w:tcW w:w="7654" w:type="dxa"/>
          </w:tcPr>
          <w:p w:rsidR="00567ADE" w:rsidRPr="00AD29C5" w:rsidRDefault="00737B85" w:rsidP="002D7B20">
            <w:pPr>
              <w:rPr>
                <w:rFonts w:ascii="Arial" w:hAnsi="Arial" w:cs="Arial"/>
                <w:b/>
                <w:sz w:val="24"/>
                <w:szCs w:val="24"/>
              </w:rPr>
            </w:pPr>
            <w:r>
              <w:rPr>
                <w:rFonts w:ascii="Arial" w:hAnsi="Arial" w:cs="Arial"/>
                <w:b/>
                <w:sz w:val="24"/>
                <w:szCs w:val="24"/>
              </w:rPr>
              <w:t>Achievement</w:t>
            </w:r>
          </w:p>
        </w:tc>
      </w:tr>
      <w:tr w:rsidR="00567ADE" w:rsidRPr="00AD29C5" w:rsidTr="00567ADE">
        <w:tc>
          <w:tcPr>
            <w:tcW w:w="3260" w:type="dxa"/>
          </w:tcPr>
          <w:p w:rsidR="00567ADE" w:rsidRPr="00AD29C5" w:rsidRDefault="00567ADE" w:rsidP="00567ADE">
            <w:pPr>
              <w:pStyle w:val="ListParagraph"/>
              <w:numPr>
                <w:ilvl w:val="0"/>
                <w:numId w:val="10"/>
              </w:numPr>
              <w:ind w:left="321" w:hanging="321"/>
              <w:rPr>
                <w:rFonts w:ascii="Arial" w:hAnsi="Arial" w:cs="Arial"/>
                <w:sz w:val="24"/>
                <w:szCs w:val="24"/>
              </w:rPr>
            </w:pPr>
            <w:r w:rsidRPr="00AD29C5">
              <w:rPr>
                <w:rFonts w:ascii="Arial" w:hAnsi="Arial" w:cs="Arial"/>
                <w:sz w:val="24"/>
                <w:szCs w:val="24"/>
              </w:rPr>
              <w:t>Fiscal Policy</w:t>
            </w:r>
          </w:p>
        </w:tc>
        <w:tc>
          <w:tcPr>
            <w:tcW w:w="2410" w:type="dxa"/>
          </w:tcPr>
          <w:p w:rsidR="00567ADE" w:rsidRPr="00AD29C5" w:rsidRDefault="00567ADE" w:rsidP="00FE052D">
            <w:pPr>
              <w:rPr>
                <w:rFonts w:ascii="Arial" w:hAnsi="Arial" w:cs="Arial"/>
                <w:sz w:val="24"/>
                <w:szCs w:val="24"/>
              </w:rPr>
            </w:pPr>
            <w:r w:rsidRPr="00AD29C5">
              <w:rPr>
                <w:rFonts w:ascii="Arial" w:hAnsi="Arial" w:cs="Arial"/>
                <w:sz w:val="24"/>
                <w:szCs w:val="24"/>
              </w:rPr>
              <w:t>Minister of</w:t>
            </w:r>
            <w:r w:rsidR="00FE052D" w:rsidRPr="00AD29C5">
              <w:rPr>
                <w:rFonts w:ascii="Arial" w:hAnsi="Arial" w:cs="Arial"/>
                <w:sz w:val="24"/>
                <w:szCs w:val="24"/>
              </w:rPr>
              <w:t xml:space="preserve"> </w:t>
            </w:r>
            <w:r w:rsidRPr="00AD29C5">
              <w:rPr>
                <w:rFonts w:ascii="Arial" w:hAnsi="Arial" w:cs="Arial"/>
                <w:sz w:val="24"/>
                <w:szCs w:val="24"/>
              </w:rPr>
              <w:t>Finance</w:t>
            </w:r>
          </w:p>
        </w:tc>
        <w:tc>
          <w:tcPr>
            <w:tcW w:w="7654" w:type="dxa"/>
          </w:tcPr>
          <w:p w:rsidR="00567ADE" w:rsidRPr="00AD29C5" w:rsidRDefault="00567ADE" w:rsidP="00567ADE">
            <w:pPr>
              <w:pStyle w:val="ListParagraph"/>
              <w:numPr>
                <w:ilvl w:val="0"/>
                <w:numId w:val="11"/>
              </w:numPr>
              <w:ind w:left="287" w:hanging="284"/>
              <w:rPr>
                <w:rFonts w:ascii="Arial" w:hAnsi="Arial" w:cs="Arial"/>
                <w:sz w:val="24"/>
                <w:szCs w:val="24"/>
              </w:rPr>
            </w:pPr>
            <w:r w:rsidRPr="00AD29C5">
              <w:rPr>
                <w:rFonts w:ascii="Arial" w:hAnsi="Arial" w:cs="Arial"/>
                <w:sz w:val="24"/>
                <w:szCs w:val="24"/>
              </w:rPr>
              <w:t>The Budget Facility on Infrastructure run by the National Treasury and the Presidential Infrastructure Coordinating Commission has been established.</w:t>
            </w:r>
          </w:p>
          <w:p w:rsidR="00567ADE" w:rsidRPr="00AD29C5" w:rsidRDefault="00FE052D" w:rsidP="00567ADE">
            <w:pPr>
              <w:pStyle w:val="ListParagraph"/>
              <w:numPr>
                <w:ilvl w:val="0"/>
                <w:numId w:val="11"/>
              </w:numPr>
              <w:ind w:left="287" w:hanging="284"/>
              <w:rPr>
                <w:rFonts w:ascii="Arial" w:hAnsi="Arial" w:cs="Arial"/>
                <w:sz w:val="24"/>
                <w:szCs w:val="24"/>
              </w:rPr>
            </w:pPr>
            <w:r w:rsidRPr="00AD29C5">
              <w:rPr>
                <w:rFonts w:ascii="Arial" w:hAnsi="Arial" w:cs="Arial"/>
                <w:sz w:val="24"/>
                <w:szCs w:val="24"/>
              </w:rPr>
              <w:t>A three-year (2018/19 – 2020/21) public service wage agreement was finalised by Government and Labour Unions in June 2018.</w:t>
            </w:r>
          </w:p>
        </w:tc>
      </w:tr>
      <w:tr w:rsidR="00567ADE" w:rsidRPr="00AD29C5" w:rsidTr="00567ADE">
        <w:tc>
          <w:tcPr>
            <w:tcW w:w="3260" w:type="dxa"/>
          </w:tcPr>
          <w:p w:rsidR="00567ADE" w:rsidRPr="00AD29C5" w:rsidRDefault="00FE052D" w:rsidP="00FE052D">
            <w:pPr>
              <w:pStyle w:val="ListParagraph"/>
              <w:numPr>
                <w:ilvl w:val="0"/>
                <w:numId w:val="10"/>
              </w:numPr>
              <w:ind w:left="321" w:hanging="321"/>
              <w:rPr>
                <w:rFonts w:ascii="Arial" w:hAnsi="Arial" w:cs="Arial"/>
                <w:sz w:val="24"/>
                <w:szCs w:val="24"/>
              </w:rPr>
            </w:pPr>
            <w:r w:rsidRPr="00AD29C5">
              <w:rPr>
                <w:rFonts w:ascii="Arial" w:hAnsi="Arial" w:cs="Arial"/>
                <w:sz w:val="24"/>
                <w:szCs w:val="24"/>
              </w:rPr>
              <w:t>Financial sector and tax policy</w:t>
            </w:r>
          </w:p>
        </w:tc>
        <w:tc>
          <w:tcPr>
            <w:tcW w:w="2410" w:type="dxa"/>
          </w:tcPr>
          <w:p w:rsidR="00567ADE" w:rsidRPr="00AD29C5" w:rsidRDefault="00FE052D" w:rsidP="002D7B20">
            <w:pPr>
              <w:rPr>
                <w:rFonts w:ascii="Arial" w:hAnsi="Arial" w:cs="Arial"/>
                <w:sz w:val="24"/>
                <w:szCs w:val="24"/>
              </w:rPr>
            </w:pPr>
            <w:r w:rsidRPr="00AD29C5">
              <w:rPr>
                <w:rFonts w:ascii="Arial" w:hAnsi="Arial" w:cs="Arial"/>
                <w:sz w:val="24"/>
                <w:szCs w:val="24"/>
              </w:rPr>
              <w:t>Minister of Finance</w:t>
            </w:r>
          </w:p>
        </w:tc>
        <w:tc>
          <w:tcPr>
            <w:tcW w:w="7654" w:type="dxa"/>
          </w:tcPr>
          <w:p w:rsidR="00567ADE" w:rsidRPr="00AD29C5" w:rsidRDefault="00FE052D" w:rsidP="00FE052D">
            <w:pPr>
              <w:pStyle w:val="ListParagraph"/>
              <w:numPr>
                <w:ilvl w:val="0"/>
                <w:numId w:val="12"/>
              </w:numPr>
              <w:ind w:left="321" w:hanging="321"/>
              <w:rPr>
                <w:rFonts w:ascii="Arial" w:hAnsi="Arial" w:cs="Arial"/>
                <w:sz w:val="24"/>
                <w:szCs w:val="24"/>
              </w:rPr>
            </w:pPr>
            <w:r w:rsidRPr="00AD29C5">
              <w:rPr>
                <w:rFonts w:ascii="Arial" w:hAnsi="Arial" w:cs="Arial"/>
                <w:sz w:val="24"/>
                <w:szCs w:val="24"/>
              </w:rPr>
              <w:t>Financial Sector Regulation Act was signed into law on 21 August 2017</w:t>
            </w:r>
            <w:r w:rsidR="00737B85">
              <w:rPr>
                <w:rFonts w:ascii="Arial" w:hAnsi="Arial" w:cs="Arial"/>
                <w:sz w:val="24"/>
                <w:szCs w:val="24"/>
              </w:rPr>
              <w:t>.</w:t>
            </w:r>
          </w:p>
          <w:p w:rsidR="00FE052D" w:rsidRPr="00AD29C5" w:rsidRDefault="00FE052D" w:rsidP="00FE052D">
            <w:pPr>
              <w:pStyle w:val="ListParagraph"/>
              <w:numPr>
                <w:ilvl w:val="0"/>
                <w:numId w:val="12"/>
              </w:numPr>
              <w:ind w:left="321" w:hanging="321"/>
              <w:rPr>
                <w:rFonts w:ascii="Arial" w:hAnsi="Arial" w:cs="Arial"/>
                <w:sz w:val="24"/>
                <w:szCs w:val="24"/>
              </w:rPr>
            </w:pPr>
            <w:r w:rsidRPr="00AD29C5">
              <w:rPr>
                <w:rFonts w:ascii="Arial" w:hAnsi="Arial" w:cs="Arial"/>
                <w:sz w:val="24"/>
                <w:szCs w:val="24"/>
              </w:rPr>
              <w:t>Standing Committee on Finance and Portfolio Committee on Transformation have completed hearings an</w:t>
            </w:r>
            <w:r w:rsidR="00737B85">
              <w:rPr>
                <w:rFonts w:ascii="Arial" w:hAnsi="Arial" w:cs="Arial"/>
                <w:sz w:val="24"/>
                <w:szCs w:val="24"/>
              </w:rPr>
              <w:t>d have finalised the report.</w:t>
            </w:r>
          </w:p>
          <w:p w:rsidR="002B286C" w:rsidRPr="00AD29C5" w:rsidRDefault="002B286C" w:rsidP="009B4E72">
            <w:pPr>
              <w:pStyle w:val="ListParagraph"/>
              <w:numPr>
                <w:ilvl w:val="0"/>
                <w:numId w:val="12"/>
              </w:numPr>
              <w:ind w:left="321" w:hanging="321"/>
              <w:rPr>
                <w:rFonts w:ascii="Arial" w:hAnsi="Arial" w:cs="Arial"/>
                <w:sz w:val="24"/>
                <w:szCs w:val="24"/>
              </w:rPr>
            </w:pPr>
            <w:r w:rsidRPr="00AD29C5">
              <w:rPr>
                <w:rFonts w:ascii="Arial" w:hAnsi="Arial" w:cs="Arial"/>
                <w:sz w:val="24"/>
                <w:szCs w:val="24"/>
              </w:rPr>
              <w:t>The Insurance Bill 2016 has been approved b</w:t>
            </w:r>
            <w:r w:rsidR="009B4E72" w:rsidRPr="00AD29C5">
              <w:rPr>
                <w:rFonts w:ascii="Arial" w:hAnsi="Arial" w:cs="Arial"/>
                <w:sz w:val="24"/>
                <w:szCs w:val="24"/>
              </w:rPr>
              <w:t>y Standing Committee on Finance.</w:t>
            </w:r>
          </w:p>
        </w:tc>
      </w:tr>
      <w:tr w:rsidR="00567ADE" w:rsidRPr="00AD29C5" w:rsidTr="00567ADE">
        <w:tc>
          <w:tcPr>
            <w:tcW w:w="3260" w:type="dxa"/>
          </w:tcPr>
          <w:p w:rsidR="00567ADE" w:rsidRPr="00AD29C5" w:rsidRDefault="00006F05"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t>Leverage Public Procurement</w:t>
            </w:r>
          </w:p>
        </w:tc>
        <w:tc>
          <w:tcPr>
            <w:tcW w:w="2410" w:type="dxa"/>
          </w:tcPr>
          <w:p w:rsidR="00567ADE" w:rsidRPr="00AD29C5" w:rsidRDefault="00006F05" w:rsidP="002D7B20">
            <w:pPr>
              <w:rPr>
                <w:rFonts w:ascii="Arial" w:hAnsi="Arial" w:cs="Arial"/>
                <w:sz w:val="24"/>
                <w:szCs w:val="24"/>
              </w:rPr>
            </w:pPr>
            <w:r w:rsidRPr="00AD29C5">
              <w:rPr>
                <w:rFonts w:ascii="Arial" w:hAnsi="Arial" w:cs="Arial"/>
                <w:sz w:val="24"/>
                <w:szCs w:val="24"/>
              </w:rPr>
              <w:t>Minister of Finance / Minister of Small Business Development</w:t>
            </w:r>
          </w:p>
        </w:tc>
        <w:tc>
          <w:tcPr>
            <w:tcW w:w="7654" w:type="dxa"/>
          </w:tcPr>
          <w:p w:rsidR="00567ADE" w:rsidRPr="00AD29C5" w:rsidRDefault="00006F05" w:rsidP="00006F05">
            <w:pPr>
              <w:pStyle w:val="ListParagraph"/>
              <w:numPr>
                <w:ilvl w:val="0"/>
                <w:numId w:val="14"/>
              </w:numPr>
              <w:ind w:left="321" w:hanging="321"/>
              <w:rPr>
                <w:rFonts w:ascii="Arial" w:hAnsi="Arial" w:cs="Arial"/>
                <w:sz w:val="24"/>
                <w:szCs w:val="24"/>
              </w:rPr>
            </w:pPr>
            <w:r w:rsidRPr="00AD29C5">
              <w:rPr>
                <w:rFonts w:ascii="Arial" w:hAnsi="Arial" w:cs="Arial"/>
                <w:sz w:val="24"/>
                <w:szCs w:val="24"/>
              </w:rPr>
              <w:t>The Preferential Procurement Policy Framework Act Regulations took effect on 1 April 2017.</w:t>
            </w:r>
          </w:p>
          <w:p w:rsidR="00006F05" w:rsidRPr="00AD29C5" w:rsidRDefault="00737B85" w:rsidP="00006F05">
            <w:pPr>
              <w:pStyle w:val="ListParagraph"/>
              <w:numPr>
                <w:ilvl w:val="0"/>
                <w:numId w:val="14"/>
              </w:numPr>
              <w:ind w:left="321" w:hanging="321"/>
              <w:rPr>
                <w:rFonts w:ascii="Arial" w:hAnsi="Arial" w:cs="Arial"/>
                <w:sz w:val="24"/>
                <w:szCs w:val="24"/>
              </w:rPr>
            </w:pPr>
            <w:r>
              <w:rPr>
                <w:rFonts w:ascii="Arial" w:hAnsi="Arial" w:cs="Arial"/>
                <w:sz w:val="24"/>
                <w:szCs w:val="24"/>
              </w:rPr>
              <w:t xml:space="preserve">The </w:t>
            </w:r>
            <w:r w:rsidR="005F13ED" w:rsidRPr="00AD29C5">
              <w:rPr>
                <w:rFonts w:ascii="Arial" w:hAnsi="Arial" w:cs="Arial"/>
                <w:sz w:val="24"/>
                <w:szCs w:val="24"/>
              </w:rPr>
              <w:t>Public Procurement Bill memorandum t</w:t>
            </w:r>
            <w:r>
              <w:rPr>
                <w:rFonts w:ascii="Arial" w:hAnsi="Arial" w:cs="Arial"/>
                <w:sz w:val="24"/>
                <w:szCs w:val="24"/>
              </w:rPr>
              <w:t xml:space="preserve">o Cabinet signed on 7 July 2017. </w:t>
            </w:r>
            <w:r w:rsidR="009F713E">
              <w:rPr>
                <w:rFonts w:ascii="Arial" w:hAnsi="Arial" w:cs="Arial"/>
                <w:sz w:val="24"/>
                <w:szCs w:val="24"/>
              </w:rPr>
              <w:t xml:space="preserve">The draft Bill has been approved for submission in October 2018 to proceed </w:t>
            </w:r>
            <w:r w:rsidR="00146749">
              <w:rPr>
                <w:rFonts w:ascii="Arial" w:hAnsi="Arial" w:cs="Arial"/>
                <w:sz w:val="24"/>
                <w:szCs w:val="24"/>
              </w:rPr>
              <w:t xml:space="preserve">to </w:t>
            </w:r>
            <w:r w:rsidR="009F713E">
              <w:rPr>
                <w:rFonts w:ascii="Arial" w:hAnsi="Arial" w:cs="Arial"/>
                <w:sz w:val="24"/>
                <w:szCs w:val="24"/>
              </w:rPr>
              <w:t xml:space="preserve">Cabinet </w:t>
            </w:r>
            <w:r w:rsidR="00146749">
              <w:rPr>
                <w:rFonts w:ascii="Arial" w:hAnsi="Arial" w:cs="Arial"/>
                <w:sz w:val="24"/>
                <w:szCs w:val="24"/>
              </w:rPr>
              <w:t xml:space="preserve">for </w:t>
            </w:r>
            <w:r w:rsidR="009F713E">
              <w:rPr>
                <w:rFonts w:ascii="Arial" w:hAnsi="Arial" w:cs="Arial"/>
                <w:sz w:val="24"/>
                <w:szCs w:val="24"/>
              </w:rPr>
              <w:t>approval for public consultation.</w:t>
            </w:r>
          </w:p>
          <w:p w:rsidR="005F13ED" w:rsidRPr="00AD29C5" w:rsidRDefault="005F13ED" w:rsidP="00006F05">
            <w:pPr>
              <w:pStyle w:val="ListParagraph"/>
              <w:numPr>
                <w:ilvl w:val="0"/>
                <w:numId w:val="14"/>
              </w:numPr>
              <w:ind w:left="321" w:hanging="321"/>
              <w:rPr>
                <w:rFonts w:ascii="Arial" w:hAnsi="Arial" w:cs="Arial"/>
                <w:sz w:val="24"/>
                <w:szCs w:val="24"/>
              </w:rPr>
            </w:pPr>
            <w:r w:rsidRPr="00AD29C5">
              <w:rPr>
                <w:rFonts w:ascii="Arial" w:hAnsi="Arial" w:cs="Arial"/>
                <w:sz w:val="24"/>
                <w:szCs w:val="24"/>
              </w:rPr>
              <w:t>Government’s Small Business and Innovation Fund, focused on providing support for entrepreneurs, has been allocated R1 billion for 2019/20.</w:t>
            </w:r>
          </w:p>
        </w:tc>
      </w:tr>
      <w:tr w:rsidR="002C7428" w:rsidRPr="00AD29C5" w:rsidTr="00567ADE">
        <w:tc>
          <w:tcPr>
            <w:tcW w:w="3260" w:type="dxa"/>
          </w:tcPr>
          <w:p w:rsidR="002C7428" w:rsidRPr="00AD29C5" w:rsidRDefault="002C7428"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t>Recapitalisation of SOEs and Government Guarantees</w:t>
            </w:r>
          </w:p>
        </w:tc>
        <w:tc>
          <w:tcPr>
            <w:tcW w:w="2410" w:type="dxa"/>
          </w:tcPr>
          <w:p w:rsidR="002C7428" w:rsidRPr="00AD29C5" w:rsidRDefault="002C7428" w:rsidP="002D7B20">
            <w:pPr>
              <w:rPr>
                <w:rFonts w:ascii="Arial" w:hAnsi="Arial" w:cs="Arial"/>
                <w:sz w:val="24"/>
                <w:szCs w:val="24"/>
              </w:rPr>
            </w:pPr>
            <w:r w:rsidRPr="00AD29C5">
              <w:rPr>
                <w:rFonts w:ascii="Arial" w:hAnsi="Arial" w:cs="Arial"/>
                <w:sz w:val="24"/>
                <w:szCs w:val="24"/>
              </w:rPr>
              <w:t>Minister of Finance / Cabinet</w:t>
            </w:r>
          </w:p>
        </w:tc>
        <w:tc>
          <w:tcPr>
            <w:tcW w:w="7654" w:type="dxa"/>
          </w:tcPr>
          <w:p w:rsidR="002C7428" w:rsidRPr="00AD29C5" w:rsidRDefault="002C7428"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t>National Treasury has crafted a draft framework for disposal of non-core assets, which still needs to go through the necessary consultative process.</w:t>
            </w:r>
          </w:p>
        </w:tc>
      </w:tr>
      <w:tr w:rsidR="002C7428" w:rsidRPr="00AD29C5" w:rsidTr="00567ADE">
        <w:tc>
          <w:tcPr>
            <w:tcW w:w="3260" w:type="dxa"/>
          </w:tcPr>
          <w:p w:rsidR="002C7428" w:rsidRPr="00AD29C5" w:rsidRDefault="002C7428"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t xml:space="preserve">Broader State Owned </w:t>
            </w:r>
            <w:r w:rsidRPr="00AD29C5">
              <w:rPr>
                <w:rFonts w:ascii="Arial" w:hAnsi="Arial" w:cs="Arial"/>
                <w:sz w:val="24"/>
                <w:szCs w:val="24"/>
              </w:rPr>
              <w:lastRenderedPageBreak/>
              <w:t>Entity (SOE) reforms</w:t>
            </w:r>
          </w:p>
        </w:tc>
        <w:tc>
          <w:tcPr>
            <w:tcW w:w="2410" w:type="dxa"/>
          </w:tcPr>
          <w:p w:rsidR="002C7428" w:rsidRPr="00AD29C5" w:rsidRDefault="002C7428" w:rsidP="002D7B20">
            <w:pPr>
              <w:rPr>
                <w:rFonts w:ascii="Arial" w:hAnsi="Arial" w:cs="Arial"/>
                <w:sz w:val="24"/>
                <w:szCs w:val="24"/>
              </w:rPr>
            </w:pPr>
            <w:r w:rsidRPr="00AD29C5">
              <w:rPr>
                <w:rFonts w:ascii="Arial" w:hAnsi="Arial" w:cs="Arial"/>
                <w:sz w:val="24"/>
                <w:szCs w:val="24"/>
              </w:rPr>
              <w:lastRenderedPageBreak/>
              <w:t>Minister of Finance/</w:t>
            </w:r>
          </w:p>
          <w:p w:rsidR="002C7428" w:rsidRPr="00AD29C5" w:rsidRDefault="002C7428" w:rsidP="002D7B20">
            <w:pPr>
              <w:rPr>
                <w:rFonts w:ascii="Arial" w:hAnsi="Arial" w:cs="Arial"/>
                <w:sz w:val="24"/>
                <w:szCs w:val="24"/>
              </w:rPr>
            </w:pPr>
            <w:r w:rsidRPr="00AD29C5">
              <w:rPr>
                <w:rFonts w:ascii="Arial" w:hAnsi="Arial" w:cs="Arial"/>
                <w:sz w:val="24"/>
                <w:szCs w:val="24"/>
              </w:rPr>
              <w:lastRenderedPageBreak/>
              <w:t>Minister of DPE/</w:t>
            </w:r>
          </w:p>
          <w:p w:rsidR="002C7428" w:rsidRPr="00AD29C5" w:rsidRDefault="002C7428" w:rsidP="002D7B20">
            <w:pPr>
              <w:rPr>
                <w:rFonts w:ascii="Arial" w:hAnsi="Arial" w:cs="Arial"/>
                <w:sz w:val="24"/>
                <w:szCs w:val="24"/>
              </w:rPr>
            </w:pPr>
            <w:r w:rsidRPr="00AD29C5">
              <w:rPr>
                <w:rFonts w:ascii="Arial" w:hAnsi="Arial" w:cs="Arial"/>
                <w:sz w:val="24"/>
                <w:szCs w:val="24"/>
              </w:rPr>
              <w:t>Minister of DPSA/</w:t>
            </w:r>
          </w:p>
          <w:p w:rsidR="002C7428" w:rsidRPr="00AD29C5" w:rsidRDefault="002C7428" w:rsidP="002D7B20">
            <w:pPr>
              <w:rPr>
                <w:rFonts w:ascii="Arial" w:hAnsi="Arial" w:cs="Arial"/>
                <w:sz w:val="24"/>
                <w:szCs w:val="24"/>
              </w:rPr>
            </w:pPr>
            <w:r w:rsidRPr="00AD29C5">
              <w:rPr>
                <w:rFonts w:ascii="Arial" w:hAnsi="Arial" w:cs="Arial"/>
                <w:sz w:val="24"/>
                <w:szCs w:val="24"/>
              </w:rPr>
              <w:t>Cabinet</w:t>
            </w:r>
          </w:p>
        </w:tc>
        <w:tc>
          <w:tcPr>
            <w:tcW w:w="7654" w:type="dxa"/>
          </w:tcPr>
          <w:p w:rsidR="002C7428" w:rsidRPr="00AD29C5" w:rsidRDefault="00BD1BB9"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lastRenderedPageBreak/>
              <w:t xml:space="preserve">Boards of several SOEs have been changed to improve </w:t>
            </w:r>
            <w:r w:rsidRPr="00AD29C5">
              <w:rPr>
                <w:rFonts w:ascii="Arial" w:hAnsi="Arial" w:cs="Arial"/>
                <w:sz w:val="24"/>
                <w:szCs w:val="24"/>
              </w:rPr>
              <w:lastRenderedPageBreak/>
              <w:t xml:space="preserve">governance; these include Eskom, </w:t>
            </w:r>
            <w:r w:rsidR="009F713E">
              <w:rPr>
                <w:rFonts w:ascii="Arial" w:hAnsi="Arial" w:cs="Arial"/>
                <w:sz w:val="24"/>
                <w:szCs w:val="24"/>
              </w:rPr>
              <w:t xml:space="preserve">Transnet, </w:t>
            </w:r>
            <w:r w:rsidRPr="00AD29C5">
              <w:rPr>
                <w:rFonts w:ascii="Arial" w:hAnsi="Arial" w:cs="Arial"/>
                <w:sz w:val="24"/>
                <w:szCs w:val="24"/>
              </w:rPr>
              <w:t>Denel and Prasa</w:t>
            </w:r>
            <w:r w:rsidR="009F713E">
              <w:rPr>
                <w:rFonts w:ascii="Arial" w:hAnsi="Arial" w:cs="Arial"/>
                <w:sz w:val="24"/>
                <w:szCs w:val="24"/>
              </w:rPr>
              <w:t>.</w:t>
            </w:r>
          </w:p>
          <w:p w:rsidR="00BD1BB9" w:rsidRPr="00AD29C5" w:rsidRDefault="00BD1BB9" w:rsidP="00D13FFB">
            <w:pPr>
              <w:pStyle w:val="ListParagraph"/>
              <w:numPr>
                <w:ilvl w:val="0"/>
                <w:numId w:val="14"/>
              </w:numPr>
              <w:ind w:left="321" w:hanging="321"/>
              <w:rPr>
                <w:rFonts w:ascii="Arial" w:hAnsi="Arial" w:cs="Arial"/>
                <w:sz w:val="24"/>
                <w:szCs w:val="24"/>
              </w:rPr>
            </w:pPr>
            <w:r w:rsidRPr="00AD29C5">
              <w:rPr>
                <w:rFonts w:ascii="Arial" w:hAnsi="Arial" w:cs="Arial"/>
                <w:sz w:val="24"/>
                <w:szCs w:val="24"/>
              </w:rPr>
              <w:t>Government is implementing recommendations from the 2010 Presidential Review Commission of SOEs</w:t>
            </w:r>
          </w:p>
        </w:tc>
      </w:tr>
      <w:tr w:rsidR="00D13FFB" w:rsidRPr="00AD29C5" w:rsidTr="00567ADE">
        <w:tc>
          <w:tcPr>
            <w:tcW w:w="3260" w:type="dxa"/>
          </w:tcPr>
          <w:p w:rsidR="00D13FFB" w:rsidRPr="00AD29C5" w:rsidRDefault="00D13FFB"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lastRenderedPageBreak/>
              <w:t>Private Sector Participation Framework</w:t>
            </w:r>
          </w:p>
        </w:tc>
        <w:tc>
          <w:tcPr>
            <w:tcW w:w="2410" w:type="dxa"/>
          </w:tcPr>
          <w:p w:rsidR="00D13FFB" w:rsidRPr="00AD29C5" w:rsidRDefault="00D13FFB" w:rsidP="002D7B20">
            <w:pPr>
              <w:rPr>
                <w:rFonts w:ascii="Arial" w:hAnsi="Arial" w:cs="Arial"/>
                <w:sz w:val="24"/>
                <w:szCs w:val="24"/>
              </w:rPr>
            </w:pPr>
            <w:r w:rsidRPr="00AD29C5">
              <w:rPr>
                <w:rFonts w:ascii="Arial" w:hAnsi="Arial" w:cs="Arial"/>
                <w:sz w:val="24"/>
                <w:szCs w:val="24"/>
              </w:rPr>
              <w:t>Minister of Finance/</w:t>
            </w:r>
          </w:p>
          <w:p w:rsidR="00D13FFB" w:rsidRPr="00AD29C5" w:rsidRDefault="00D13FFB" w:rsidP="002D7B20">
            <w:pPr>
              <w:rPr>
                <w:rFonts w:ascii="Arial" w:hAnsi="Arial" w:cs="Arial"/>
                <w:sz w:val="24"/>
                <w:szCs w:val="24"/>
              </w:rPr>
            </w:pPr>
            <w:r w:rsidRPr="00AD29C5">
              <w:rPr>
                <w:rFonts w:ascii="Arial" w:hAnsi="Arial" w:cs="Arial"/>
                <w:sz w:val="24"/>
                <w:szCs w:val="24"/>
              </w:rPr>
              <w:t>All Shareholder Ministries/</w:t>
            </w:r>
          </w:p>
          <w:p w:rsidR="00D13FFB" w:rsidRPr="00AD29C5" w:rsidRDefault="00D13FFB" w:rsidP="002D7B20">
            <w:pPr>
              <w:rPr>
                <w:rFonts w:ascii="Arial" w:hAnsi="Arial" w:cs="Arial"/>
                <w:sz w:val="24"/>
                <w:szCs w:val="24"/>
              </w:rPr>
            </w:pPr>
            <w:r w:rsidRPr="00AD29C5">
              <w:rPr>
                <w:rFonts w:ascii="Arial" w:hAnsi="Arial" w:cs="Arial"/>
                <w:sz w:val="24"/>
                <w:szCs w:val="24"/>
              </w:rPr>
              <w:t>All SOEs</w:t>
            </w:r>
          </w:p>
        </w:tc>
        <w:tc>
          <w:tcPr>
            <w:tcW w:w="7654" w:type="dxa"/>
          </w:tcPr>
          <w:p w:rsidR="00D13FFB" w:rsidRPr="00AD29C5" w:rsidRDefault="00D13FFB" w:rsidP="00D13FFB">
            <w:pPr>
              <w:pStyle w:val="ListParagraph"/>
              <w:numPr>
                <w:ilvl w:val="0"/>
                <w:numId w:val="14"/>
              </w:numPr>
              <w:ind w:left="321" w:hanging="321"/>
              <w:rPr>
                <w:rFonts w:ascii="Arial" w:hAnsi="Arial" w:cs="Arial"/>
                <w:sz w:val="24"/>
                <w:szCs w:val="24"/>
              </w:rPr>
            </w:pPr>
            <w:r w:rsidRPr="00AD29C5">
              <w:rPr>
                <w:rFonts w:ascii="Arial" w:hAnsi="Arial" w:cs="Arial"/>
                <w:sz w:val="24"/>
                <w:szCs w:val="24"/>
              </w:rPr>
              <w:t>Private Sector Participation Framework has been approved by  Cabinet and shared with the relevant departments and entities.</w:t>
            </w:r>
          </w:p>
        </w:tc>
      </w:tr>
      <w:tr w:rsidR="00D13FFB" w:rsidRPr="00AD29C5" w:rsidTr="00567ADE">
        <w:tc>
          <w:tcPr>
            <w:tcW w:w="3260" w:type="dxa"/>
          </w:tcPr>
          <w:p w:rsidR="00D13FFB" w:rsidRPr="00AD29C5" w:rsidRDefault="00D13FFB"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t>Costing Developmental Mandates</w:t>
            </w:r>
          </w:p>
        </w:tc>
        <w:tc>
          <w:tcPr>
            <w:tcW w:w="2410" w:type="dxa"/>
          </w:tcPr>
          <w:p w:rsidR="00D13FFB" w:rsidRPr="00AD29C5" w:rsidRDefault="00D13FFB" w:rsidP="002D7B20">
            <w:pPr>
              <w:rPr>
                <w:rFonts w:ascii="Arial" w:hAnsi="Arial" w:cs="Arial"/>
                <w:sz w:val="24"/>
                <w:szCs w:val="24"/>
              </w:rPr>
            </w:pPr>
            <w:r w:rsidRPr="00AD29C5">
              <w:rPr>
                <w:rFonts w:ascii="Arial" w:hAnsi="Arial" w:cs="Arial"/>
                <w:sz w:val="24"/>
                <w:szCs w:val="24"/>
              </w:rPr>
              <w:t>Minister of Finance</w:t>
            </w:r>
          </w:p>
        </w:tc>
        <w:tc>
          <w:tcPr>
            <w:tcW w:w="7654" w:type="dxa"/>
          </w:tcPr>
          <w:p w:rsidR="00D13FFB" w:rsidRPr="00AD29C5" w:rsidRDefault="00D13FFB"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t>Template to determine and cost developmental mandates has been approved by Cabinet and shared with the relevant departments and entities.</w:t>
            </w:r>
          </w:p>
        </w:tc>
      </w:tr>
      <w:tr w:rsidR="00B06287" w:rsidRPr="00AD29C5" w:rsidTr="00567ADE">
        <w:tc>
          <w:tcPr>
            <w:tcW w:w="3260" w:type="dxa"/>
          </w:tcPr>
          <w:p w:rsidR="00B06287" w:rsidRPr="00AD29C5" w:rsidRDefault="00B06287"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t>Energy</w:t>
            </w:r>
          </w:p>
        </w:tc>
        <w:tc>
          <w:tcPr>
            <w:tcW w:w="2410" w:type="dxa"/>
          </w:tcPr>
          <w:p w:rsidR="00B06287" w:rsidRPr="00AD29C5" w:rsidRDefault="00115C4A" w:rsidP="002D7B20">
            <w:pPr>
              <w:rPr>
                <w:rFonts w:ascii="Arial" w:hAnsi="Arial" w:cs="Arial"/>
                <w:sz w:val="24"/>
                <w:szCs w:val="24"/>
              </w:rPr>
            </w:pPr>
            <w:r w:rsidRPr="00AD29C5">
              <w:rPr>
                <w:rFonts w:ascii="Arial" w:hAnsi="Arial" w:cs="Arial"/>
                <w:sz w:val="24"/>
                <w:szCs w:val="24"/>
              </w:rPr>
              <w:t>Minister of Finance/</w:t>
            </w:r>
          </w:p>
          <w:p w:rsidR="00115C4A" w:rsidRPr="00AD29C5" w:rsidRDefault="00115C4A" w:rsidP="002D7B20">
            <w:pPr>
              <w:rPr>
                <w:rFonts w:ascii="Arial" w:hAnsi="Arial" w:cs="Arial"/>
                <w:sz w:val="24"/>
                <w:szCs w:val="24"/>
              </w:rPr>
            </w:pPr>
            <w:r w:rsidRPr="00AD29C5">
              <w:rPr>
                <w:rFonts w:ascii="Arial" w:hAnsi="Arial" w:cs="Arial"/>
                <w:sz w:val="24"/>
                <w:szCs w:val="24"/>
              </w:rPr>
              <w:t>Minister of Energy/</w:t>
            </w:r>
          </w:p>
          <w:p w:rsidR="00115C4A" w:rsidRPr="00AD29C5" w:rsidRDefault="00115C4A" w:rsidP="002D7B20">
            <w:pPr>
              <w:rPr>
                <w:rFonts w:ascii="Arial" w:hAnsi="Arial" w:cs="Arial"/>
                <w:sz w:val="24"/>
                <w:szCs w:val="24"/>
              </w:rPr>
            </w:pPr>
            <w:r w:rsidRPr="00AD29C5">
              <w:rPr>
                <w:rFonts w:ascii="Arial" w:hAnsi="Arial" w:cs="Arial"/>
                <w:sz w:val="24"/>
                <w:szCs w:val="24"/>
              </w:rPr>
              <w:t>DPE/</w:t>
            </w:r>
          </w:p>
          <w:p w:rsidR="00115C4A" w:rsidRPr="00AD29C5" w:rsidRDefault="00115C4A" w:rsidP="002D7B20">
            <w:pPr>
              <w:rPr>
                <w:rFonts w:ascii="Arial" w:hAnsi="Arial" w:cs="Arial"/>
                <w:sz w:val="24"/>
                <w:szCs w:val="24"/>
              </w:rPr>
            </w:pPr>
            <w:r w:rsidRPr="00AD29C5">
              <w:rPr>
                <w:rFonts w:ascii="Arial" w:hAnsi="Arial" w:cs="Arial"/>
                <w:sz w:val="24"/>
                <w:szCs w:val="24"/>
              </w:rPr>
              <w:t>Eskom</w:t>
            </w:r>
          </w:p>
        </w:tc>
        <w:tc>
          <w:tcPr>
            <w:tcW w:w="7654" w:type="dxa"/>
          </w:tcPr>
          <w:p w:rsidR="005119F0" w:rsidRPr="001C321E" w:rsidRDefault="005119F0" w:rsidP="00CB386C">
            <w:pPr>
              <w:pStyle w:val="ListParagraph"/>
              <w:numPr>
                <w:ilvl w:val="0"/>
                <w:numId w:val="14"/>
              </w:numPr>
              <w:ind w:left="321" w:hanging="321"/>
              <w:rPr>
                <w:rFonts w:ascii="Arial" w:hAnsi="Arial" w:cs="Arial"/>
                <w:sz w:val="24"/>
                <w:szCs w:val="24"/>
              </w:rPr>
            </w:pPr>
            <w:r w:rsidRPr="001C321E">
              <w:rPr>
                <w:rFonts w:ascii="Arial" w:hAnsi="Arial" w:cs="Arial"/>
                <w:sz w:val="24"/>
                <w:szCs w:val="24"/>
              </w:rPr>
              <w:t>Task team comprising of NT, DPE and Energy advised that Eskom could not pursue the “hardship” approach as this would have unintended consequences and negatively impact Eskom’s ability to raise funds.</w:t>
            </w:r>
            <w:r w:rsidR="001C321E" w:rsidRPr="001C321E">
              <w:rPr>
                <w:rFonts w:ascii="Arial" w:hAnsi="Arial" w:cs="Arial"/>
                <w:sz w:val="24"/>
                <w:szCs w:val="24"/>
              </w:rPr>
              <w:t xml:space="preserve"> </w:t>
            </w:r>
            <w:r w:rsidRPr="001C321E">
              <w:rPr>
                <w:rFonts w:ascii="Arial" w:hAnsi="Arial" w:cs="Arial"/>
                <w:sz w:val="24"/>
                <w:szCs w:val="24"/>
              </w:rPr>
              <w:t>Task team indicated that there is no need for soft support for Eskom</w:t>
            </w:r>
            <w:r w:rsidR="009B4E72" w:rsidRPr="001C321E">
              <w:rPr>
                <w:rFonts w:ascii="Arial" w:hAnsi="Arial" w:cs="Arial"/>
                <w:sz w:val="24"/>
                <w:szCs w:val="24"/>
              </w:rPr>
              <w:t>.</w:t>
            </w:r>
          </w:p>
          <w:p w:rsidR="001C321E" w:rsidRDefault="001C321E" w:rsidP="001C321E">
            <w:pPr>
              <w:pStyle w:val="ListParagraph"/>
              <w:numPr>
                <w:ilvl w:val="0"/>
                <w:numId w:val="14"/>
              </w:numPr>
              <w:ind w:left="321" w:hanging="321"/>
              <w:rPr>
                <w:rFonts w:ascii="Arial" w:hAnsi="Arial" w:cs="Arial"/>
                <w:sz w:val="24"/>
                <w:szCs w:val="24"/>
              </w:rPr>
            </w:pPr>
            <w:r>
              <w:rPr>
                <w:rFonts w:ascii="Arial" w:hAnsi="Arial" w:cs="Arial"/>
                <w:sz w:val="24"/>
                <w:szCs w:val="24"/>
              </w:rPr>
              <w:t xml:space="preserve">Renewable Energy Independent Power Purchase (REIPPP) </w:t>
            </w:r>
            <w:r w:rsidR="00146749">
              <w:rPr>
                <w:rFonts w:ascii="Arial" w:hAnsi="Arial" w:cs="Arial"/>
                <w:sz w:val="24"/>
                <w:szCs w:val="24"/>
              </w:rPr>
              <w:t>agreements have been signed on the 4</w:t>
            </w:r>
            <w:r w:rsidR="00146749" w:rsidRPr="00146749">
              <w:rPr>
                <w:rFonts w:ascii="Arial" w:hAnsi="Arial" w:cs="Arial"/>
                <w:sz w:val="24"/>
                <w:szCs w:val="24"/>
                <w:vertAlign w:val="superscript"/>
              </w:rPr>
              <w:t>th</w:t>
            </w:r>
            <w:r w:rsidR="00146749">
              <w:rPr>
                <w:rFonts w:ascii="Arial" w:hAnsi="Arial" w:cs="Arial"/>
                <w:sz w:val="24"/>
                <w:szCs w:val="24"/>
              </w:rPr>
              <w:t xml:space="preserve"> April 2018 and will add additional 2300MW to the grid</w:t>
            </w:r>
          </w:p>
          <w:p w:rsidR="005119F0" w:rsidRPr="00AD29C5" w:rsidRDefault="005119F0" w:rsidP="001C321E">
            <w:pPr>
              <w:pStyle w:val="ListParagraph"/>
              <w:numPr>
                <w:ilvl w:val="0"/>
                <w:numId w:val="14"/>
              </w:numPr>
              <w:ind w:left="321" w:hanging="321"/>
              <w:rPr>
                <w:rFonts w:ascii="Arial" w:hAnsi="Arial" w:cs="Arial"/>
                <w:sz w:val="24"/>
                <w:szCs w:val="24"/>
              </w:rPr>
            </w:pPr>
            <w:r w:rsidRPr="00AD29C5">
              <w:rPr>
                <w:rFonts w:ascii="Arial" w:hAnsi="Arial" w:cs="Arial"/>
                <w:sz w:val="24"/>
                <w:szCs w:val="24"/>
              </w:rPr>
              <w:t>D</w:t>
            </w:r>
            <w:r w:rsidR="00146749">
              <w:rPr>
                <w:rFonts w:ascii="Arial" w:hAnsi="Arial" w:cs="Arial"/>
                <w:sz w:val="24"/>
                <w:szCs w:val="24"/>
              </w:rPr>
              <w:t xml:space="preserve">TI continues to roll-out and expand </w:t>
            </w:r>
            <w:r w:rsidRPr="00AD29C5">
              <w:rPr>
                <w:rFonts w:ascii="Arial" w:hAnsi="Arial" w:cs="Arial"/>
                <w:sz w:val="24"/>
                <w:szCs w:val="24"/>
              </w:rPr>
              <w:t>the Black Indust</w:t>
            </w:r>
            <w:r w:rsidR="00146749">
              <w:rPr>
                <w:rFonts w:ascii="Arial" w:hAnsi="Arial" w:cs="Arial"/>
                <w:sz w:val="24"/>
                <w:szCs w:val="24"/>
              </w:rPr>
              <w:t>rialists programme.</w:t>
            </w:r>
          </w:p>
        </w:tc>
      </w:tr>
      <w:tr w:rsidR="005119F0" w:rsidRPr="00AD29C5" w:rsidTr="00567ADE">
        <w:tc>
          <w:tcPr>
            <w:tcW w:w="3260" w:type="dxa"/>
          </w:tcPr>
          <w:p w:rsidR="005119F0" w:rsidRPr="00AD29C5" w:rsidRDefault="00115C4A" w:rsidP="00E91653">
            <w:pPr>
              <w:pStyle w:val="ListParagraph"/>
              <w:numPr>
                <w:ilvl w:val="0"/>
                <w:numId w:val="10"/>
              </w:numPr>
              <w:ind w:left="321" w:hanging="284"/>
              <w:rPr>
                <w:rFonts w:ascii="Arial" w:hAnsi="Arial" w:cs="Arial"/>
                <w:sz w:val="24"/>
                <w:szCs w:val="24"/>
              </w:rPr>
            </w:pPr>
            <w:r w:rsidRPr="00AD29C5">
              <w:rPr>
                <w:rFonts w:ascii="Arial" w:hAnsi="Arial" w:cs="Arial"/>
                <w:sz w:val="24"/>
                <w:szCs w:val="24"/>
              </w:rPr>
              <w:t>South African Airways</w:t>
            </w:r>
          </w:p>
        </w:tc>
        <w:tc>
          <w:tcPr>
            <w:tcW w:w="2410" w:type="dxa"/>
          </w:tcPr>
          <w:p w:rsidR="005119F0" w:rsidRPr="00AD29C5" w:rsidRDefault="00115C4A" w:rsidP="002D7B20">
            <w:pPr>
              <w:rPr>
                <w:rFonts w:ascii="Arial" w:hAnsi="Arial" w:cs="Arial"/>
                <w:sz w:val="24"/>
                <w:szCs w:val="24"/>
              </w:rPr>
            </w:pPr>
            <w:r w:rsidRPr="00AD29C5">
              <w:rPr>
                <w:rFonts w:ascii="Arial" w:hAnsi="Arial" w:cs="Arial"/>
                <w:sz w:val="24"/>
                <w:szCs w:val="24"/>
              </w:rPr>
              <w:t>Minister of Finance</w:t>
            </w:r>
          </w:p>
        </w:tc>
        <w:tc>
          <w:tcPr>
            <w:tcW w:w="7654" w:type="dxa"/>
          </w:tcPr>
          <w:p w:rsidR="005119F0" w:rsidRPr="00AD29C5" w:rsidRDefault="00146749" w:rsidP="002C7428">
            <w:pPr>
              <w:pStyle w:val="ListParagraph"/>
              <w:numPr>
                <w:ilvl w:val="0"/>
                <w:numId w:val="14"/>
              </w:numPr>
              <w:ind w:left="321" w:hanging="321"/>
              <w:rPr>
                <w:rFonts w:ascii="Arial" w:hAnsi="Arial" w:cs="Arial"/>
                <w:sz w:val="24"/>
                <w:szCs w:val="24"/>
              </w:rPr>
            </w:pPr>
            <w:r>
              <w:rPr>
                <w:rFonts w:ascii="Arial" w:hAnsi="Arial" w:cs="Arial"/>
                <w:sz w:val="24"/>
                <w:szCs w:val="24"/>
              </w:rPr>
              <w:t xml:space="preserve">The new </w:t>
            </w:r>
            <w:r w:rsidR="001C321E">
              <w:rPr>
                <w:rFonts w:ascii="Arial" w:hAnsi="Arial" w:cs="Arial"/>
                <w:sz w:val="24"/>
                <w:szCs w:val="24"/>
              </w:rPr>
              <w:t xml:space="preserve">SAA CEO appointment has been </w:t>
            </w:r>
            <w:r>
              <w:rPr>
                <w:rFonts w:ascii="Arial" w:hAnsi="Arial" w:cs="Arial"/>
                <w:sz w:val="24"/>
                <w:szCs w:val="24"/>
              </w:rPr>
              <w:t xml:space="preserve">completed </w:t>
            </w:r>
          </w:p>
          <w:p w:rsidR="00882E73" w:rsidRPr="00AD29C5" w:rsidRDefault="00882E73"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t>Institute of Directors (IoDSA) conducted an external skills audit,</w:t>
            </w:r>
            <w:r w:rsidR="009B4E72" w:rsidRPr="00AD29C5">
              <w:rPr>
                <w:rFonts w:ascii="Arial" w:hAnsi="Arial" w:cs="Arial"/>
                <w:sz w:val="24"/>
                <w:szCs w:val="24"/>
              </w:rPr>
              <w:t xml:space="preserve"> which was concluded before the</w:t>
            </w:r>
            <w:r w:rsidRPr="00AD29C5">
              <w:rPr>
                <w:rFonts w:ascii="Arial" w:hAnsi="Arial" w:cs="Arial"/>
                <w:sz w:val="24"/>
                <w:szCs w:val="24"/>
              </w:rPr>
              <w:t xml:space="preserve"> </w:t>
            </w:r>
            <w:r w:rsidR="001C321E">
              <w:rPr>
                <w:rFonts w:ascii="Arial" w:hAnsi="Arial" w:cs="Arial"/>
                <w:sz w:val="24"/>
                <w:szCs w:val="24"/>
              </w:rPr>
              <w:t xml:space="preserve">2017/18 </w:t>
            </w:r>
            <w:r w:rsidRPr="00AD29C5">
              <w:rPr>
                <w:rFonts w:ascii="Arial" w:hAnsi="Arial" w:cs="Arial"/>
                <w:sz w:val="24"/>
                <w:szCs w:val="24"/>
              </w:rPr>
              <w:t>MTBPS</w:t>
            </w:r>
            <w:r w:rsidR="001C321E">
              <w:rPr>
                <w:rFonts w:ascii="Arial" w:hAnsi="Arial" w:cs="Arial"/>
                <w:sz w:val="24"/>
                <w:szCs w:val="24"/>
              </w:rPr>
              <w:t xml:space="preserve"> </w:t>
            </w:r>
          </w:p>
          <w:p w:rsidR="00882E73" w:rsidRPr="00AD29C5" w:rsidRDefault="00882E73"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t>New SAA Board has been appointed</w:t>
            </w:r>
            <w:r w:rsidR="009B4E72" w:rsidRPr="00AD29C5">
              <w:rPr>
                <w:rFonts w:ascii="Arial" w:hAnsi="Arial" w:cs="Arial"/>
                <w:sz w:val="24"/>
                <w:szCs w:val="24"/>
              </w:rPr>
              <w:t>.</w:t>
            </w:r>
          </w:p>
          <w:p w:rsidR="00882E73" w:rsidRPr="00AD29C5" w:rsidRDefault="00882E73"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t>SAA has reduced the frequencies on certain loss-making routes</w:t>
            </w:r>
            <w:r w:rsidR="009B4E72" w:rsidRPr="00AD29C5">
              <w:rPr>
                <w:rFonts w:ascii="Arial" w:hAnsi="Arial" w:cs="Arial"/>
                <w:sz w:val="24"/>
                <w:szCs w:val="24"/>
              </w:rPr>
              <w:t>.</w:t>
            </w:r>
          </w:p>
        </w:tc>
      </w:tr>
      <w:tr w:rsidR="00882E73" w:rsidRPr="00AD29C5" w:rsidTr="00567ADE">
        <w:tc>
          <w:tcPr>
            <w:tcW w:w="3260" w:type="dxa"/>
          </w:tcPr>
          <w:p w:rsidR="00882E73" w:rsidRPr="00AD29C5" w:rsidRDefault="002E4265" w:rsidP="002E4265">
            <w:pPr>
              <w:pStyle w:val="ListParagraph"/>
              <w:numPr>
                <w:ilvl w:val="0"/>
                <w:numId w:val="10"/>
              </w:numPr>
              <w:ind w:hanging="502"/>
              <w:rPr>
                <w:rFonts w:ascii="Arial" w:hAnsi="Arial" w:cs="Arial"/>
                <w:sz w:val="24"/>
                <w:szCs w:val="24"/>
              </w:rPr>
            </w:pPr>
            <w:r w:rsidRPr="00AD29C5">
              <w:rPr>
                <w:rFonts w:ascii="Arial" w:hAnsi="Arial" w:cs="Arial"/>
                <w:sz w:val="24"/>
                <w:szCs w:val="24"/>
              </w:rPr>
              <w:t>Telecommunication</w:t>
            </w:r>
          </w:p>
        </w:tc>
        <w:tc>
          <w:tcPr>
            <w:tcW w:w="2410" w:type="dxa"/>
          </w:tcPr>
          <w:p w:rsidR="00882E73" w:rsidRPr="00AD29C5" w:rsidRDefault="00F63039" w:rsidP="002D7B20">
            <w:pPr>
              <w:rPr>
                <w:rFonts w:ascii="Arial" w:hAnsi="Arial" w:cs="Arial"/>
                <w:sz w:val="24"/>
                <w:szCs w:val="24"/>
              </w:rPr>
            </w:pPr>
            <w:r w:rsidRPr="00AD29C5">
              <w:rPr>
                <w:rFonts w:ascii="Arial" w:hAnsi="Arial" w:cs="Arial"/>
                <w:sz w:val="24"/>
                <w:szCs w:val="24"/>
              </w:rPr>
              <w:t>Minister of DTPS/</w:t>
            </w:r>
          </w:p>
          <w:p w:rsidR="00F63039" w:rsidRPr="00AD29C5" w:rsidRDefault="00F63039" w:rsidP="002D7B20">
            <w:pPr>
              <w:rPr>
                <w:rFonts w:ascii="Arial" w:hAnsi="Arial" w:cs="Arial"/>
                <w:sz w:val="24"/>
                <w:szCs w:val="24"/>
              </w:rPr>
            </w:pPr>
            <w:r w:rsidRPr="00AD29C5">
              <w:rPr>
                <w:rFonts w:ascii="Arial" w:hAnsi="Arial" w:cs="Arial"/>
                <w:sz w:val="24"/>
                <w:szCs w:val="24"/>
              </w:rPr>
              <w:t>CSIR/</w:t>
            </w:r>
          </w:p>
          <w:p w:rsidR="00F63039" w:rsidRPr="00AD29C5" w:rsidRDefault="00F63039" w:rsidP="002D7B20">
            <w:pPr>
              <w:rPr>
                <w:rFonts w:ascii="Arial" w:hAnsi="Arial" w:cs="Arial"/>
                <w:sz w:val="24"/>
                <w:szCs w:val="24"/>
              </w:rPr>
            </w:pPr>
            <w:r w:rsidRPr="00AD29C5">
              <w:rPr>
                <w:rFonts w:ascii="Arial" w:hAnsi="Arial" w:cs="Arial"/>
                <w:sz w:val="24"/>
                <w:szCs w:val="24"/>
              </w:rPr>
              <w:t>Minister of EDD</w:t>
            </w:r>
          </w:p>
        </w:tc>
        <w:tc>
          <w:tcPr>
            <w:tcW w:w="7654" w:type="dxa"/>
          </w:tcPr>
          <w:p w:rsidR="00720619" w:rsidRDefault="006F0760" w:rsidP="00720619">
            <w:pPr>
              <w:pStyle w:val="ListParagraph"/>
              <w:numPr>
                <w:ilvl w:val="0"/>
                <w:numId w:val="14"/>
              </w:numPr>
              <w:ind w:left="321" w:hanging="321"/>
              <w:rPr>
                <w:rFonts w:ascii="Arial" w:hAnsi="Arial" w:cs="Arial"/>
                <w:sz w:val="24"/>
                <w:szCs w:val="24"/>
              </w:rPr>
            </w:pPr>
            <w:r w:rsidRPr="00AD29C5">
              <w:rPr>
                <w:rFonts w:ascii="Arial" w:hAnsi="Arial" w:cs="Arial"/>
                <w:sz w:val="24"/>
                <w:szCs w:val="24"/>
              </w:rPr>
              <w:t xml:space="preserve">The CSIR has completed a study on spectrum availability to determine if excess capacity will be available to license to industry after allocating spectrum to the WOAN. </w:t>
            </w:r>
          </w:p>
          <w:p w:rsidR="00AD4C31" w:rsidRPr="00AD4C31" w:rsidRDefault="00AD4C31" w:rsidP="00AD4C31">
            <w:pPr>
              <w:pStyle w:val="ListParagraph"/>
              <w:numPr>
                <w:ilvl w:val="0"/>
                <w:numId w:val="14"/>
              </w:numPr>
              <w:rPr>
                <w:rFonts w:ascii="Arial" w:hAnsi="Arial" w:cs="Arial"/>
                <w:sz w:val="24"/>
                <w:szCs w:val="24"/>
              </w:rPr>
            </w:pPr>
            <w:r w:rsidRPr="00AD4C31">
              <w:rPr>
                <w:rFonts w:ascii="Arial" w:hAnsi="Arial" w:cs="Arial"/>
                <w:sz w:val="24"/>
                <w:szCs w:val="24"/>
              </w:rPr>
              <w:t xml:space="preserve">The Department of Telecommunications and Postal Services has released the Electronic Communications Amendment Bill for public consultation </w:t>
            </w:r>
          </w:p>
          <w:p w:rsidR="00720619" w:rsidRPr="00AD29C5" w:rsidRDefault="00720619" w:rsidP="00AD4C31">
            <w:pPr>
              <w:pStyle w:val="ListParagraph"/>
              <w:numPr>
                <w:ilvl w:val="0"/>
                <w:numId w:val="14"/>
              </w:numPr>
              <w:ind w:left="321" w:hanging="321"/>
              <w:rPr>
                <w:rFonts w:ascii="Arial" w:hAnsi="Arial" w:cs="Arial"/>
                <w:sz w:val="24"/>
                <w:szCs w:val="24"/>
              </w:rPr>
            </w:pPr>
            <w:r w:rsidRPr="00AD29C5">
              <w:rPr>
                <w:rFonts w:ascii="Arial" w:hAnsi="Arial" w:cs="Arial"/>
                <w:sz w:val="24"/>
                <w:szCs w:val="24"/>
              </w:rPr>
              <w:lastRenderedPageBreak/>
              <w:t>The data enquiry public hearing process has commenced.  The Commission held a three day public hearings into Data Market Inquiry from 17-19 October</w:t>
            </w:r>
            <w:r w:rsidR="001C321E">
              <w:rPr>
                <w:rFonts w:ascii="Arial" w:hAnsi="Arial" w:cs="Arial"/>
                <w:sz w:val="24"/>
                <w:szCs w:val="24"/>
              </w:rPr>
              <w:t xml:space="preserve"> 2017</w:t>
            </w:r>
            <w:r w:rsidRPr="00AD29C5">
              <w:rPr>
                <w:rFonts w:ascii="Arial" w:hAnsi="Arial" w:cs="Arial"/>
                <w:sz w:val="24"/>
                <w:szCs w:val="24"/>
              </w:rPr>
              <w:t>.  The four major cellphone service providers in South Africa were invited to testify on the second day of the public hearings.  The aim of the inquiry is to better understand the general state of competition in the data services sector</w:t>
            </w:r>
            <w:r w:rsidR="001C321E">
              <w:rPr>
                <w:rFonts w:ascii="Arial" w:hAnsi="Arial" w:cs="Arial"/>
                <w:sz w:val="24"/>
                <w:szCs w:val="24"/>
              </w:rPr>
              <w:t>.</w:t>
            </w:r>
          </w:p>
        </w:tc>
      </w:tr>
      <w:tr w:rsidR="001075DE" w:rsidRPr="00AD29C5" w:rsidTr="00567ADE">
        <w:tc>
          <w:tcPr>
            <w:tcW w:w="3260" w:type="dxa"/>
          </w:tcPr>
          <w:p w:rsidR="001075DE" w:rsidRPr="00AD29C5" w:rsidRDefault="001075DE" w:rsidP="002E4265">
            <w:pPr>
              <w:pStyle w:val="ListParagraph"/>
              <w:numPr>
                <w:ilvl w:val="0"/>
                <w:numId w:val="10"/>
              </w:numPr>
              <w:ind w:hanging="502"/>
              <w:rPr>
                <w:rFonts w:ascii="Arial" w:hAnsi="Arial" w:cs="Arial"/>
                <w:sz w:val="24"/>
                <w:szCs w:val="24"/>
              </w:rPr>
            </w:pPr>
            <w:r w:rsidRPr="00AD29C5">
              <w:rPr>
                <w:rFonts w:ascii="Arial" w:hAnsi="Arial" w:cs="Arial"/>
                <w:sz w:val="24"/>
                <w:szCs w:val="24"/>
              </w:rPr>
              <w:lastRenderedPageBreak/>
              <w:t>Postbank</w:t>
            </w:r>
          </w:p>
        </w:tc>
        <w:tc>
          <w:tcPr>
            <w:tcW w:w="2410" w:type="dxa"/>
          </w:tcPr>
          <w:p w:rsidR="001075DE" w:rsidRPr="00AD29C5" w:rsidRDefault="001075DE" w:rsidP="002D7B20">
            <w:pPr>
              <w:rPr>
                <w:rFonts w:ascii="Arial" w:hAnsi="Arial" w:cs="Arial"/>
                <w:sz w:val="24"/>
                <w:szCs w:val="24"/>
              </w:rPr>
            </w:pPr>
            <w:r w:rsidRPr="00AD29C5">
              <w:rPr>
                <w:rFonts w:ascii="Arial" w:hAnsi="Arial" w:cs="Arial"/>
                <w:sz w:val="24"/>
                <w:szCs w:val="24"/>
              </w:rPr>
              <w:t>Minister of Finance/</w:t>
            </w:r>
          </w:p>
          <w:p w:rsidR="001075DE" w:rsidRPr="00AD29C5" w:rsidRDefault="001075DE" w:rsidP="002D7B20">
            <w:pPr>
              <w:rPr>
                <w:rFonts w:ascii="Arial" w:hAnsi="Arial" w:cs="Arial"/>
                <w:sz w:val="24"/>
                <w:szCs w:val="24"/>
              </w:rPr>
            </w:pPr>
            <w:r w:rsidRPr="00AD29C5">
              <w:rPr>
                <w:rFonts w:ascii="Arial" w:hAnsi="Arial" w:cs="Arial"/>
                <w:sz w:val="24"/>
                <w:szCs w:val="24"/>
              </w:rPr>
              <w:t>Minister of DTPS</w:t>
            </w:r>
          </w:p>
        </w:tc>
        <w:tc>
          <w:tcPr>
            <w:tcW w:w="7654" w:type="dxa"/>
          </w:tcPr>
          <w:p w:rsidR="001075DE" w:rsidRPr="00AD29C5" w:rsidRDefault="001075DE" w:rsidP="002C7428">
            <w:pPr>
              <w:pStyle w:val="ListParagraph"/>
              <w:numPr>
                <w:ilvl w:val="0"/>
                <w:numId w:val="14"/>
              </w:numPr>
              <w:ind w:left="321" w:hanging="321"/>
              <w:rPr>
                <w:rFonts w:ascii="Arial" w:hAnsi="Arial" w:cs="Arial"/>
                <w:sz w:val="24"/>
                <w:szCs w:val="24"/>
              </w:rPr>
            </w:pPr>
            <w:r w:rsidRPr="00AD29C5">
              <w:rPr>
                <w:rFonts w:ascii="Arial" w:hAnsi="Arial" w:cs="Arial"/>
                <w:sz w:val="24"/>
                <w:szCs w:val="24"/>
              </w:rPr>
              <w:t>Legislation to facilitate the licensing of Postbank is still being finalised</w:t>
            </w:r>
          </w:p>
        </w:tc>
      </w:tr>
      <w:tr w:rsidR="00EB574E" w:rsidRPr="00AD29C5" w:rsidTr="00567ADE">
        <w:tc>
          <w:tcPr>
            <w:tcW w:w="3260" w:type="dxa"/>
          </w:tcPr>
          <w:p w:rsidR="00EB574E" w:rsidRPr="00AD29C5" w:rsidRDefault="00EB574E" w:rsidP="002E4265">
            <w:pPr>
              <w:pStyle w:val="ListParagraph"/>
              <w:numPr>
                <w:ilvl w:val="0"/>
                <w:numId w:val="10"/>
              </w:numPr>
              <w:ind w:hanging="502"/>
              <w:rPr>
                <w:rFonts w:ascii="Arial" w:hAnsi="Arial" w:cs="Arial"/>
                <w:sz w:val="24"/>
                <w:szCs w:val="24"/>
              </w:rPr>
            </w:pPr>
            <w:r w:rsidRPr="00AD29C5">
              <w:rPr>
                <w:rFonts w:ascii="Arial" w:hAnsi="Arial" w:cs="Arial"/>
                <w:sz w:val="24"/>
                <w:szCs w:val="24"/>
              </w:rPr>
              <w:t>Mineral and Petroleum Resources Development Act</w:t>
            </w:r>
          </w:p>
        </w:tc>
        <w:tc>
          <w:tcPr>
            <w:tcW w:w="2410" w:type="dxa"/>
          </w:tcPr>
          <w:p w:rsidR="00EB574E" w:rsidRPr="00AD29C5" w:rsidRDefault="00EB574E" w:rsidP="002D7B20">
            <w:pPr>
              <w:rPr>
                <w:rFonts w:ascii="Arial" w:hAnsi="Arial" w:cs="Arial"/>
                <w:sz w:val="24"/>
                <w:szCs w:val="24"/>
              </w:rPr>
            </w:pPr>
            <w:r w:rsidRPr="00AD29C5">
              <w:rPr>
                <w:rFonts w:ascii="Arial" w:hAnsi="Arial" w:cs="Arial"/>
                <w:sz w:val="24"/>
                <w:szCs w:val="24"/>
              </w:rPr>
              <w:t>Minister of Mineral Resources</w:t>
            </w:r>
          </w:p>
        </w:tc>
        <w:tc>
          <w:tcPr>
            <w:tcW w:w="7654" w:type="dxa"/>
          </w:tcPr>
          <w:p w:rsidR="00EB574E" w:rsidRPr="00AD29C5" w:rsidRDefault="00AD4C31" w:rsidP="002C7428">
            <w:pPr>
              <w:pStyle w:val="ListParagraph"/>
              <w:numPr>
                <w:ilvl w:val="0"/>
                <w:numId w:val="14"/>
              </w:numPr>
              <w:ind w:left="321" w:hanging="321"/>
              <w:rPr>
                <w:rFonts w:ascii="Arial" w:hAnsi="Arial" w:cs="Arial"/>
                <w:sz w:val="24"/>
                <w:szCs w:val="24"/>
              </w:rPr>
            </w:pPr>
            <w:r>
              <w:rPr>
                <w:rFonts w:ascii="Arial" w:hAnsi="Arial" w:cs="Arial"/>
                <w:sz w:val="24"/>
                <w:szCs w:val="24"/>
              </w:rPr>
              <w:t>This has been withdrawn fro</w:t>
            </w:r>
            <w:r w:rsidR="006C231D">
              <w:rPr>
                <w:rFonts w:ascii="Arial" w:hAnsi="Arial" w:cs="Arial"/>
                <w:sz w:val="24"/>
                <w:szCs w:val="24"/>
              </w:rPr>
              <w:t>m</w:t>
            </w:r>
            <w:bookmarkStart w:id="0" w:name="_GoBack"/>
            <w:bookmarkEnd w:id="0"/>
            <w:r>
              <w:rPr>
                <w:rFonts w:ascii="Arial" w:hAnsi="Arial" w:cs="Arial"/>
                <w:sz w:val="24"/>
                <w:szCs w:val="24"/>
              </w:rPr>
              <w:t xml:space="preserve"> Parliament</w:t>
            </w:r>
          </w:p>
        </w:tc>
      </w:tr>
      <w:tr w:rsidR="00EB574E" w:rsidRPr="00AD29C5" w:rsidTr="00567ADE">
        <w:tc>
          <w:tcPr>
            <w:tcW w:w="3260" w:type="dxa"/>
          </w:tcPr>
          <w:p w:rsidR="00EB574E" w:rsidRPr="00AD29C5" w:rsidRDefault="00EB574E" w:rsidP="002E4265">
            <w:pPr>
              <w:pStyle w:val="ListParagraph"/>
              <w:numPr>
                <w:ilvl w:val="0"/>
                <w:numId w:val="10"/>
              </w:numPr>
              <w:ind w:hanging="502"/>
              <w:rPr>
                <w:rFonts w:ascii="Arial" w:hAnsi="Arial" w:cs="Arial"/>
                <w:sz w:val="24"/>
                <w:szCs w:val="24"/>
              </w:rPr>
            </w:pPr>
            <w:r w:rsidRPr="00AD29C5">
              <w:rPr>
                <w:rFonts w:ascii="Arial" w:hAnsi="Arial" w:cs="Arial"/>
                <w:sz w:val="24"/>
                <w:szCs w:val="24"/>
              </w:rPr>
              <w:t>Broad-based Socio-Economic Empowerment Charter for the South African Mining and Minerals Industry</w:t>
            </w:r>
          </w:p>
        </w:tc>
        <w:tc>
          <w:tcPr>
            <w:tcW w:w="2410" w:type="dxa"/>
          </w:tcPr>
          <w:p w:rsidR="00EB574E" w:rsidRPr="00AD29C5" w:rsidRDefault="00EB574E" w:rsidP="002D7B20">
            <w:pPr>
              <w:rPr>
                <w:rFonts w:ascii="Arial" w:hAnsi="Arial" w:cs="Arial"/>
                <w:sz w:val="24"/>
                <w:szCs w:val="24"/>
              </w:rPr>
            </w:pPr>
            <w:r w:rsidRPr="00AD29C5">
              <w:rPr>
                <w:rFonts w:ascii="Arial" w:hAnsi="Arial" w:cs="Arial"/>
                <w:sz w:val="24"/>
                <w:szCs w:val="24"/>
              </w:rPr>
              <w:t>Minister of Mineral Resources</w:t>
            </w:r>
          </w:p>
        </w:tc>
        <w:tc>
          <w:tcPr>
            <w:tcW w:w="7654" w:type="dxa"/>
          </w:tcPr>
          <w:p w:rsidR="00EB574E" w:rsidRPr="00AD29C5" w:rsidRDefault="009B4E72" w:rsidP="009B4E72">
            <w:pPr>
              <w:pStyle w:val="ListParagraph"/>
              <w:numPr>
                <w:ilvl w:val="0"/>
                <w:numId w:val="14"/>
              </w:numPr>
              <w:ind w:left="321" w:hanging="321"/>
              <w:rPr>
                <w:rFonts w:ascii="Arial" w:hAnsi="Arial" w:cs="Arial"/>
                <w:sz w:val="24"/>
                <w:szCs w:val="24"/>
              </w:rPr>
            </w:pPr>
            <w:r w:rsidRPr="00AD29C5">
              <w:rPr>
                <w:rFonts w:ascii="Arial" w:hAnsi="Arial" w:cs="Arial"/>
                <w:sz w:val="24"/>
                <w:szCs w:val="24"/>
              </w:rPr>
              <w:t>The Charter was published on the 27</w:t>
            </w:r>
            <w:r w:rsidRPr="00AD29C5">
              <w:rPr>
                <w:rFonts w:ascii="Arial" w:hAnsi="Arial" w:cs="Arial"/>
                <w:sz w:val="24"/>
                <w:szCs w:val="24"/>
                <w:vertAlign w:val="superscript"/>
              </w:rPr>
              <w:t>th</w:t>
            </w:r>
            <w:r w:rsidRPr="00AD29C5">
              <w:rPr>
                <w:rFonts w:ascii="Arial" w:hAnsi="Arial" w:cs="Arial"/>
                <w:sz w:val="24"/>
                <w:szCs w:val="24"/>
              </w:rPr>
              <w:t xml:space="preserve"> September 2018.</w:t>
            </w:r>
          </w:p>
        </w:tc>
      </w:tr>
      <w:tr w:rsidR="00EB574E" w:rsidRPr="00AD29C5" w:rsidTr="00567ADE">
        <w:tc>
          <w:tcPr>
            <w:tcW w:w="3260" w:type="dxa"/>
          </w:tcPr>
          <w:p w:rsidR="00EB574E" w:rsidRPr="00AD29C5" w:rsidRDefault="00EB574E" w:rsidP="002E4265">
            <w:pPr>
              <w:pStyle w:val="ListParagraph"/>
              <w:numPr>
                <w:ilvl w:val="0"/>
                <w:numId w:val="10"/>
              </w:numPr>
              <w:ind w:hanging="502"/>
              <w:rPr>
                <w:rFonts w:ascii="Arial" w:hAnsi="Arial" w:cs="Arial"/>
                <w:sz w:val="24"/>
                <w:szCs w:val="24"/>
              </w:rPr>
            </w:pPr>
            <w:r w:rsidRPr="00AD29C5">
              <w:rPr>
                <w:rFonts w:ascii="Arial" w:hAnsi="Arial" w:cs="Arial"/>
                <w:sz w:val="24"/>
                <w:szCs w:val="24"/>
              </w:rPr>
              <w:t>The Regulation of Agricultural Land Holdings Bill</w:t>
            </w:r>
          </w:p>
        </w:tc>
        <w:tc>
          <w:tcPr>
            <w:tcW w:w="2410" w:type="dxa"/>
          </w:tcPr>
          <w:p w:rsidR="00EB574E" w:rsidRPr="00AD29C5" w:rsidRDefault="00EB574E" w:rsidP="002D7B20">
            <w:pPr>
              <w:rPr>
                <w:rFonts w:ascii="Arial" w:hAnsi="Arial" w:cs="Arial"/>
                <w:sz w:val="24"/>
                <w:szCs w:val="24"/>
              </w:rPr>
            </w:pPr>
            <w:r w:rsidRPr="00AD29C5">
              <w:rPr>
                <w:rFonts w:ascii="Arial" w:hAnsi="Arial" w:cs="Arial"/>
                <w:sz w:val="24"/>
                <w:szCs w:val="24"/>
              </w:rPr>
              <w:t>Minister of Rural Development and Land Reform</w:t>
            </w:r>
          </w:p>
        </w:tc>
        <w:tc>
          <w:tcPr>
            <w:tcW w:w="7654" w:type="dxa"/>
          </w:tcPr>
          <w:p w:rsidR="009B4E72" w:rsidRPr="00AD29C5" w:rsidRDefault="009B4E72" w:rsidP="009B4E72">
            <w:pPr>
              <w:pStyle w:val="ListParagraph"/>
              <w:numPr>
                <w:ilvl w:val="0"/>
                <w:numId w:val="14"/>
              </w:numPr>
              <w:ind w:left="321" w:hanging="321"/>
              <w:rPr>
                <w:rFonts w:ascii="Arial" w:hAnsi="Arial" w:cs="Arial"/>
                <w:sz w:val="24"/>
                <w:szCs w:val="24"/>
              </w:rPr>
            </w:pPr>
            <w:r w:rsidRPr="00AD29C5">
              <w:rPr>
                <w:rFonts w:ascii="Arial" w:hAnsi="Arial" w:cs="Arial"/>
                <w:sz w:val="24"/>
                <w:szCs w:val="24"/>
              </w:rPr>
              <w:t>The bill was published for public consultation but not yet finalised.</w:t>
            </w:r>
          </w:p>
          <w:p w:rsidR="00EB574E" w:rsidRPr="00AD29C5" w:rsidRDefault="00EB574E" w:rsidP="009B4E72">
            <w:pPr>
              <w:pStyle w:val="ListParagraph"/>
              <w:ind w:left="321"/>
              <w:rPr>
                <w:rFonts w:ascii="Arial" w:hAnsi="Arial" w:cs="Arial"/>
                <w:sz w:val="24"/>
                <w:szCs w:val="24"/>
              </w:rPr>
            </w:pPr>
          </w:p>
        </w:tc>
      </w:tr>
    </w:tbl>
    <w:p w:rsidR="008D1695" w:rsidRPr="00AD29C5" w:rsidRDefault="008D1695" w:rsidP="002D7B20">
      <w:pPr>
        <w:rPr>
          <w:rFonts w:ascii="Arial" w:hAnsi="Arial" w:cs="Arial"/>
          <w:sz w:val="24"/>
          <w:szCs w:val="24"/>
        </w:rPr>
      </w:pPr>
    </w:p>
    <w:p w:rsidR="00AE188B" w:rsidRPr="00AD29C5" w:rsidRDefault="00AE188B" w:rsidP="00AD29C5">
      <w:pPr>
        <w:spacing w:before="100" w:beforeAutospacing="1" w:after="100" w:afterAutospacing="1" w:line="240" w:lineRule="auto"/>
        <w:jc w:val="both"/>
        <w:rPr>
          <w:rFonts w:ascii="Arial" w:hAnsi="Arial" w:cs="Arial"/>
          <w:sz w:val="24"/>
          <w:szCs w:val="24"/>
          <w:lang w:val="en-GB"/>
        </w:rPr>
      </w:pPr>
    </w:p>
    <w:tbl>
      <w:tblPr>
        <w:tblW w:w="9531" w:type="dxa"/>
        <w:tblInd w:w="108" w:type="dxa"/>
        <w:tblLook w:val="04A0"/>
      </w:tblPr>
      <w:tblGrid>
        <w:gridCol w:w="3294"/>
        <w:gridCol w:w="284"/>
        <w:gridCol w:w="1714"/>
        <w:gridCol w:w="1890"/>
        <w:gridCol w:w="2349"/>
      </w:tblGrid>
      <w:tr w:rsidR="00AE188B" w:rsidRPr="00AD29C5" w:rsidTr="0013457C">
        <w:trPr>
          <w:cantSplit/>
        </w:trPr>
        <w:tc>
          <w:tcPr>
            <w:tcW w:w="3294" w:type="dxa"/>
            <w:vMerge w:val="restart"/>
            <w:vAlign w:val="center"/>
          </w:tcPr>
          <w:p w:rsidR="00AE188B" w:rsidRPr="00AD29C5" w:rsidRDefault="00AE188B" w:rsidP="0013457C">
            <w:pPr>
              <w:spacing w:after="0" w:line="240" w:lineRule="auto"/>
              <w:jc w:val="center"/>
              <w:rPr>
                <w:rFonts w:ascii="Arial" w:eastAsia="Times New Roman" w:hAnsi="Arial" w:cs="Arial"/>
                <w:b/>
                <w:sz w:val="24"/>
                <w:szCs w:val="24"/>
                <w:lang w:val="en-GB"/>
              </w:rPr>
            </w:pPr>
          </w:p>
          <w:p w:rsidR="00AE188B" w:rsidRPr="00AD29C5" w:rsidRDefault="00AE188B" w:rsidP="0013457C">
            <w:pPr>
              <w:spacing w:after="0" w:line="240" w:lineRule="auto"/>
              <w:jc w:val="center"/>
              <w:rPr>
                <w:rFonts w:ascii="Arial" w:eastAsia="Times New Roman" w:hAnsi="Arial" w:cs="Arial"/>
                <w:b/>
                <w:sz w:val="24"/>
                <w:szCs w:val="24"/>
                <w:lang w:val="en-GB"/>
              </w:rPr>
            </w:pPr>
          </w:p>
          <w:p w:rsidR="00AE188B" w:rsidRPr="00AD29C5" w:rsidRDefault="00AE188B" w:rsidP="0013457C">
            <w:pPr>
              <w:spacing w:after="0" w:line="240" w:lineRule="auto"/>
              <w:jc w:val="center"/>
              <w:rPr>
                <w:rFonts w:ascii="Arial" w:eastAsia="Times New Roman" w:hAnsi="Arial" w:cs="Arial"/>
                <w:b/>
                <w:sz w:val="24"/>
                <w:szCs w:val="24"/>
                <w:lang w:val="en-GB"/>
              </w:rPr>
            </w:pPr>
          </w:p>
        </w:tc>
        <w:tc>
          <w:tcPr>
            <w:tcW w:w="284" w:type="dxa"/>
            <w:vMerge w:val="restart"/>
            <w:tcBorders>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AD29C5" w:rsidRDefault="00AE188B" w:rsidP="0013457C">
            <w:pPr>
              <w:spacing w:after="0" w:line="240" w:lineRule="auto"/>
              <w:jc w:val="center"/>
              <w:rPr>
                <w:rFonts w:ascii="Arial" w:eastAsia="Times New Roman" w:hAnsi="Arial" w:cs="Arial"/>
                <w:b/>
                <w:sz w:val="24"/>
                <w:szCs w:val="24"/>
                <w:lang w:val="en-GB"/>
              </w:rPr>
            </w:pPr>
            <w:r w:rsidRPr="00AD29C5">
              <w:rPr>
                <w:rFonts w:ascii="Arial" w:eastAsia="Times New Roman" w:hAnsi="Arial" w:cs="Arial"/>
                <w:b/>
                <w:sz w:val="24"/>
                <w:szCs w:val="24"/>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AD29C5" w:rsidRDefault="00AE188B" w:rsidP="0013457C">
            <w:pPr>
              <w:spacing w:after="0" w:line="240" w:lineRule="auto"/>
              <w:jc w:val="center"/>
              <w:rPr>
                <w:rFonts w:ascii="Arial" w:eastAsia="Times New Roman" w:hAnsi="Arial" w:cs="Arial"/>
                <w:b/>
                <w:sz w:val="24"/>
                <w:szCs w:val="24"/>
                <w:lang w:val="en-GB"/>
              </w:rPr>
            </w:pPr>
            <w:r w:rsidRPr="00AD29C5">
              <w:rPr>
                <w:rFonts w:ascii="Arial" w:eastAsia="Times New Roman" w:hAnsi="Arial" w:cs="Arial"/>
                <w:b/>
                <w:sz w:val="24"/>
                <w:szCs w:val="24"/>
                <w:lang w:val="en-GB"/>
              </w:rPr>
              <w:t xml:space="preserve">Not </w:t>
            </w:r>
          </w:p>
          <w:p w:rsidR="00AE188B" w:rsidRPr="00AD29C5" w:rsidRDefault="00AE188B" w:rsidP="0013457C">
            <w:pPr>
              <w:spacing w:after="0" w:line="240" w:lineRule="auto"/>
              <w:jc w:val="center"/>
              <w:rPr>
                <w:rFonts w:ascii="Arial" w:eastAsia="Times New Roman" w:hAnsi="Arial" w:cs="Arial"/>
                <w:b/>
                <w:sz w:val="24"/>
                <w:szCs w:val="24"/>
                <w:lang w:val="en-GB"/>
              </w:rPr>
            </w:pPr>
            <w:r w:rsidRPr="00AD29C5">
              <w:rPr>
                <w:rFonts w:ascii="Arial" w:eastAsia="Times New Roman" w:hAnsi="Arial" w:cs="Arial"/>
                <w:b/>
                <w:sz w:val="24"/>
                <w:szCs w:val="24"/>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AD29C5" w:rsidRDefault="00AE188B" w:rsidP="0013457C">
            <w:pPr>
              <w:spacing w:after="0" w:line="240" w:lineRule="auto"/>
              <w:jc w:val="center"/>
              <w:rPr>
                <w:rFonts w:ascii="Arial" w:eastAsia="Times New Roman" w:hAnsi="Arial" w:cs="Arial"/>
                <w:b/>
                <w:sz w:val="24"/>
                <w:szCs w:val="24"/>
                <w:lang w:val="en-GB"/>
              </w:rPr>
            </w:pPr>
            <w:r w:rsidRPr="00AD29C5">
              <w:rPr>
                <w:rFonts w:ascii="Arial" w:eastAsia="Times New Roman" w:hAnsi="Arial" w:cs="Arial"/>
                <w:b/>
                <w:sz w:val="24"/>
                <w:szCs w:val="24"/>
                <w:lang w:val="en-GB"/>
              </w:rPr>
              <w:t>Approved</w:t>
            </w:r>
          </w:p>
          <w:p w:rsidR="00AE188B" w:rsidRPr="00AD29C5" w:rsidRDefault="00AE188B" w:rsidP="0013457C">
            <w:pPr>
              <w:spacing w:after="0" w:line="240" w:lineRule="auto"/>
              <w:jc w:val="center"/>
              <w:rPr>
                <w:rFonts w:ascii="Arial" w:eastAsia="Times New Roman" w:hAnsi="Arial" w:cs="Arial"/>
                <w:b/>
                <w:sz w:val="24"/>
                <w:szCs w:val="24"/>
                <w:lang w:val="en-GB"/>
              </w:rPr>
            </w:pPr>
            <w:r w:rsidRPr="00AD29C5">
              <w:rPr>
                <w:rFonts w:ascii="Arial" w:eastAsia="Times New Roman" w:hAnsi="Arial" w:cs="Arial"/>
                <w:b/>
                <w:sz w:val="24"/>
                <w:szCs w:val="24"/>
                <w:lang w:val="en-GB"/>
              </w:rPr>
              <w:t>as amended</w:t>
            </w:r>
          </w:p>
        </w:tc>
      </w:tr>
      <w:tr w:rsidR="00AE188B" w:rsidRPr="00AD29C5" w:rsidTr="0013457C">
        <w:trPr>
          <w:cantSplit/>
          <w:trHeight w:val="299"/>
        </w:trPr>
        <w:tc>
          <w:tcPr>
            <w:tcW w:w="3294" w:type="dxa"/>
            <w:vMerge/>
            <w:tcBorders>
              <w:bottom w:val="single" w:sz="4" w:space="0" w:color="auto"/>
            </w:tcBorders>
            <w:vAlign w:val="center"/>
          </w:tcPr>
          <w:p w:rsidR="00AE188B" w:rsidRPr="00AD29C5" w:rsidRDefault="00AE188B" w:rsidP="0013457C">
            <w:pPr>
              <w:spacing w:after="0" w:line="240" w:lineRule="auto"/>
              <w:jc w:val="center"/>
              <w:rPr>
                <w:rFonts w:ascii="Arial" w:eastAsia="Times New Roman" w:hAnsi="Arial" w:cs="Arial"/>
                <w:b/>
                <w:sz w:val="24"/>
                <w:szCs w:val="24"/>
                <w:lang w:val="en-GB"/>
              </w:rPr>
            </w:pPr>
          </w:p>
        </w:tc>
        <w:tc>
          <w:tcPr>
            <w:tcW w:w="284" w:type="dxa"/>
            <w:vMerge/>
            <w:tcBorders>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r w:rsidRPr="00AD29C5">
              <w:rPr>
                <w:rFonts w:ascii="Arial" w:eastAsia="Times New Roman" w:hAnsi="Arial" w:cs="Arial"/>
                <w:b/>
                <w:sz w:val="24"/>
                <w:szCs w:val="24"/>
                <w:lang w:val="en-GB"/>
              </w:rPr>
              <w:t>Comment:</w:t>
            </w:r>
          </w:p>
        </w:tc>
      </w:tr>
      <w:tr w:rsidR="00AE188B" w:rsidRPr="00AD29C5" w:rsidTr="0013457C">
        <w:trPr>
          <w:cantSplit/>
        </w:trPr>
        <w:tc>
          <w:tcPr>
            <w:tcW w:w="3294" w:type="dxa"/>
            <w:tcBorders>
              <w:top w:val="single" w:sz="4" w:space="0" w:color="auto"/>
            </w:tcBorders>
            <w:vAlign w:val="center"/>
          </w:tcPr>
          <w:p w:rsidR="00AE188B" w:rsidRPr="00AD29C5" w:rsidRDefault="00AE188B" w:rsidP="0013457C">
            <w:pPr>
              <w:spacing w:after="0" w:line="240" w:lineRule="auto"/>
              <w:rPr>
                <w:rFonts w:ascii="Arial" w:eastAsia="Times New Roman" w:hAnsi="Arial" w:cs="Arial"/>
                <w:b/>
                <w:sz w:val="24"/>
                <w:szCs w:val="24"/>
                <w:lang w:val="en-GB"/>
              </w:rPr>
            </w:pPr>
            <w:r w:rsidRPr="00AD29C5">
              <w:rPr>
                <w:rFonts w:ascii="Arial" w:eastAsia="Times New Roman" w:hAnsi="Arial" w:cs="Arial"/>
                <w:b/>
                <w:sz w:val="24"/>
                <w:szCs w:val="24"/>
                <w:lang w:val="en-GB"/>
              </w:rPr>
              <w:t>Dr NC Dlamini-Zuma</w:t>
            </w:r>
          </w:p>
          <w:p w:rsidR="00AE188B" w:rsidRPr="00AD29C5" w:rsidRDefault="00AE188B" w:rsidP="0013457C">
            <w:pPr>
              <w:spacing w:after="0" w:line="240" w:lineRule="auto"/>
              <w:rPr>
                <w:rFonts w:ascii="Arial" w:eastAsia="Times New Roman" w:hAnsi="Arial" w:cs="Arial"/>
                <w:b/>
                <w:sz w:val="24"/>
                <w:szCs w:val="24"/>
                <w:lang w:val="en-GB"/>
              </w:rPr>
            </w:pPr>
            <w:r w:rsidRPr="00AD29C5">
              <w:rPr>
                <w:rFonts w:ascii="Arial" w:eastAsia="Times New Roman" w:hAnsi="Arial" w:cs="Arial"/>
                <w:b/>
                <w:sz w:val="24"/>
                <w:szCs w:val="24"/>
                <w:lang w:val="en-GB"/>
              </w:rPr>
              <w:t>Minister in the Presidency:  Planning Monitoring and Evaluation</w:t>
            </w:r>
          </w:p>
        </w:tc>
        <w:tc>
          <w:tcPr>
            <w:tcW w:w="284" w:type="dxa"/>
            <w:vMerge/>
            <w:tcBorders>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p>
        </w:tc>
      </w:tr>
      <w:tr w:rsidR="00AE188B" w:rsidRPr="00AD29C5" w:rsidTr="0013457C">
        <w:trPr>
          <w:cantSplit/>
          <w:trHeight w:val="230"/>
        </w:trPr>
        <w:tc>
          <w:tcPr>
            <w:tcW w:w="3294" w:type="dxa"/>
            <w:tcBorders>
              <w:bottom w:val="single" w:sz="4" w:space="0" w:color="auto"/>
            </w:tcBorders>
            <w:vAlign w:val="center"/>
          </w:tcPr>
          <w:p w:rsidR="00AE188B" w:rsidRPr="00AD29C5" w:rsidRDefault="00AE188B" w:rsidP="0013457C">
            <w:pPr>
              <w:spacing w:before="120" w:after="120" w:line="240" w:lineRule="auto"/>
              <w:rPr>
                <w:rFonts w:ascii="Arial" w:eastAsia="Times New Roman" w:hAnsi="Arial" w:cs="Arial"/>
                <w:b/>
                <w:sz w:val="24"/>
                <w:szCs w:val="24"/>
                <w:lang w:val="en-GB"/>
              </w:rPr>
            </w:pPr>
            <w:r w:rsidRPr="00AD29C5">
              <w:rPr>
                <w:rFonts w:ascii="Arial" w:eastAsia="Times New Roman" w:hAnsi="Arial" w:cs="Arial"/>
                <w:b/>
                <w:sz w:val="24"/>
                <w:szCs w:val="24"/>
                <w:lang w:val="en-GB"/>
              </w:rPr>
              <w:lastRenderedPageBreak/>
              <w:t xml:space="preserve">Date: </w:t>
            </w:r>
          </w:p>
        </w:tc>
        <w:tc>
          <w:tcPr>
            <w:tcW w:w="284" w:type="dxa"/>
            <w:vMerge/>
            <w:tcBorders>
              <w:bottom w:val="single" w:sz="4" w:space="0" w:color="auto"/>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AD29C5" w:rsidRDefault="00AE188B" w:rsidP="0013457C">
            <w:pPr>
              <w:spacing w:after="0" w:line="240" w:lineRule="auto"/>
              <w:jc w:val="both"/>
              <w:rPr>
                <w:rFonts w:ascii="Arial" w:eastAsia="Times New Roman" w:hAnsi="Arial" w:cs="Arial"/>
                <w:b/>
                <w:sz w:val="24"/>
                <w:szCs w:val="24"/>
                <w:lang w:val="en-GB"/>
              </w:rPr>
            </w:pPr>
          </w:p>
        </w:tc>
      </w:tr>
    </w:tbl>
    <w:p w:rsidR="00AE188B" w:rsidRPr="00AD29C5" w:rsidRDefault="00AE188B" w:rsidP="002D7B20">
      <w:pPr>
        <w:rPr>
          <w:rFonts w:ascii="Arial" w:hAnsi="Arial" w:cs="Arial"/>
          <w:sz w:val="24"/>
          <w:szCs w:val="24"/>
        </w:rPr>
      </w:pPr>
    </w:p>
    <w:sectPr w:rsidR="00AE188B" w:rsidRPr="00AD29C5" w:rsidSect="00567AD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FD" w:rsidRDefault="009F42FD" w:rsidP="00B675D2">
      <w:pPr>
        <w:spacing w:after="0" w:line="240" w:lineRule="auto"/>
      </w:pPr>
      <w:r>
        <w:separator/>
      </w:r>
    </w:p>
  </w:endnote>
  <w:endnote w:type="continuationSeparator" w:id="0">
    <w:p w:rsidR="009F42FD" w:rsidRDefault="009F42FD" w:rsidP="00B6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31037"/>
      <w:docPartObj>
        <w:docPartGallery w:val="Page Numbers (Bottom of Page)"/>
        <w:docPartUnique/>
      </w:docPartObj>
    </w:sdtPr>
    <w:sdtEndPr>
      <w:rPr>
        <w:noProof/>
      </w:rPr>
    </w:sdtEndPr>
    <w:sdtContent>
      <w:p w:rsidR="00B675D2" w:rsidRDefault="00490188">
        <w:pPr>
          <w:pStyle w:val="Footer"/>
          <w:jc w:val="right"/>
        </w:pPr>
        <w:r>
          <w:fldChar w:fldCharType="begin"/>
        </w:r>
        <w:r w:rsidR="00B675D2">
          <w:instrText xml:space="preserve"> PAGE   \* MERGEFORMAT </w:instrText>
        </w:r>
        <w:r>
          <w:fldChar w:fldCharType="separate"/>
        </w:r>
        <w:r w:rsidR="00343891">
          <w:rPr>
            <w:noProof/>
          </w:rPr>
          <w:t>5</w:t>
        </w:r>
        <w:r>
          <w:rPr>
            <w:noProof/>
          </w:rPr>
          <w:fldChar w:fldCharType="end"/>
        </w:r>
      </w:p>
    </w:sdtContent>
  </w:sdt>
  <w:p w:rsidR="00B675D2" w:rsidRDefault="00B67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FD" w:rsidRDefault="009F42FD" w:rsidP="00B675D2">
      <w:pPr>
        <w:spacing w:after="0" w:line="240" w:lineRule="auto"/>
      </w:pPr>
      <w:r>
        <w:separator/>
      </w:r>
    </w:p>
  </w:footnote>
  <w:footnote w:type="continuationSeparator" w:id="0">
    <w:p w:rsidR="009F42FD" w:rsidRDefault="009F42FD" w:rsidP="00B67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C23"/>
    <w:multiLevelType w:val="hybridMultilevel"/>
    <w:tmpl w:val="A3940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9C08EA"/>
    <w:multiLevelType w:val="multilevel"/>
    <w:tmpl w:val="FC525A8C"/>
    <w:lvl w:ilvl="0">
      <w:start w:val="1"/>
      <w:numFmt w:val="decimal"/>
      <w:lvlText w:val="%1"/>
      <w:lvlJc w:val="left"/>
      <w:pPr>
        <w:ind w:left="370" w:hanging="370"/>
      </w:pPr>
      <w:rPr>
        <w:rFonts w:hint="default"/>
      </w:rPr>
    </w:lvl>
    <w:lvl w:ilvl="1">
      <w:start w:val="1"/>
      <w:numFmt w:val="decimal"/>
      <w:lvlText w:val="%2."/>
      <w:lvlJc w:val="left"/>
      <w:pPr>
        <w:ind w:left="1079" w:hanging="370"/>
      </w:pPr>
      <w:rPr>
        <w:rFonts w:ascii="Arial" w:eastAsiaTheme="minorHAnsi" w:hAnsi="Arial"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B33BFA"/>
    <w:multiLevelType w:val="hybridMultilevel"/>
    <w:tmpl w:val="50E2875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530642"/>
    <w:multiLevelType w:val="hybridMultilevel"/>
    <w:tmpl w:val="526C608A"/>
    <w:lvl w:ilvl="0" w:tplc="B6847AFA">
      <w:start w:val="1"/>
      <w:numFmt w:val="decimal"/>
      <w:lvlText w:val="%1."/>
      <w:lvlJc w:val="left"/>
      <w:pPr>
        <w:ind w:left="539" w:hanging="360"/>
      </w:pPr>
      <w:rPr>
        <w:rFonts w:hint="default"/>
      </w:rPr>
    </w:lvl>
    <w:lvl w:ilvl="1" w:tplc="1C090019" w:tentative="1">
      <w:start w:val="1"/>
      <w:numFmt w:val="lowerLetter"/>
      <w:lvlText w:val="%2."/>
      <w:lvlJc w:val="left"/>
      <w:pPr>
        <w:ind w:left="1259" w:hanging="360"/>
      </w:pPr>
    </w:lvl>
    <w:lvl w:ilvl="2" w:tplc="1C09001B" w:tentative="1">
      <w:start w:val="1"/>
      <w:numFmt w:val="lowerRoman"/>
      <w:lvlText w:val="%3."/>
      <w:lvlJc w:val="right"/>
      <w:pPr>
        <w:ind w:left="1979" w:hanging="180"/>
      </w:pPr>
    </w:lvl>
    <w:lvl w:ilvl="3" w:tplc="1C09000F" w:tentative="1">
      <w:start w:val="1"/>
      <w:numFmt w:val="decimal"/>
      <w:lvlText w:val="%4."/>
      <w:lvlJc w:val="left"/>
      <w:pPr>
        <w:ind w:left="2699" w:hanging="360"/>
      </w:pPr>
    </w:lvl>
    <w:lvl w:ilvl="4" w:tplc="1C090019" w:tentative="1">
      <w:start w:val="1"/>
      <w:numFmt w:val="lowerLetter"/>
      <w:lvlText w:val="%5."/>
      <w:lvlJc w:val="left"/>
      <w:pPr>
        <w:ind w:left="3419" w:hanging="360"/>
      </w:pPr>
    </w:lvl>
    <w:lvl w:ilvl="5" w:tplc="1C09001B" w:tentative="1">
      <w:start w:val="1"/>
      <w:numFmt w:val="lowerRoman"/>
      <w:lvlText w:val="%6."/>
      <w:lvlJc w:val="right"/>
      <w:pPr>
        <w:ind w:left="4139" w:hanging="180"/>
      </w:pPr>
    </w:lvl>
    <w:lvl w:ilvl="6" w:tplc="1C09000F" w:tentative="1">
      <w:start w:val="1"/>
      <w:numFmt w:val="decimal"/>
      <w:lvlText w:val="%7."/>
      <w:lvlJc w:val="left"/>
      <w:pPr>
        <w:ind w:left="4859" w:hanging="360"/>
      </w:pPr>
    </w:lvl>
    <w:lvl w:ilvl="7" w:tplc="1C090019" w:tentative="1">
      <w:start w:val="1"/>
      <w:numFmt w:val="lowerLetter"/>
      <w:lvlText w:val="%8."/>
      <w:lvlJc w:val="left"/>
      <w:pPr>
        <w:ind w:left="5579" w:hanging="360"/>
      </w:pPr>
    </w:lvl>
    <w:lvl w:ilvl="8" w:tplc="1C09001B" w:tentative="1">
      <w:start w:val="1"/>
      <w:numFmt w:val="lowerRoman"/>
      <w:lvlText w:val="%9."/>
      <w:lvlJc w:val="right"/>
      <w:pPr>
        <w:ind w:left="6299" w:hanging="180"/>
      </w:pPr>
    </w:lvl>
  </w:abstractNum>
  <w:abstractNum w:abstractNumId="4">
    <w:nsid w:val="16737B42"/>
    <w:multiLevelType w:val="hybridMultilevel"/>
    <w:tmpl w:val="B2B42E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nsid w:val="2DCD592D"/>
    <w:multiLevelType w:val="hybridMultilevel"/>
    <w:tmpl w:val="DC58BCCA"/>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7">
    <w:nsid w:val="2EA937EF"/>
    <w:multiLevelType w:val="hybridMultilevel"/>
    <w:tmpl w:val="F5369A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C216DF0"/>
    <w:multiLevelType w:val="hybridMultilevel"/>
    <w:tmpl w:val="A83A5E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EA0EC3"/>
    <w:multiLevelType w:val="hybridMultilevel"/>
    <w:tmpl w:val="86C84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701B3"/>
    <w:multiLevelType w:val="hybridMultilevel"/>
    <w:tmpl w:val="BFA0DE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0E54F2C"/>
    <w:multiLevelType w:val="multilevel"/>
    <w:tmpl w:val="452E81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31C3BB9"/>
    <w:multiLevelType w:val="hybridMultilevel"/>
    <w:tmpl w:val="CA1AD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96C0956"/>
    <w:multiLevelType w:val="hybridMultilevel"/>
    <w:tmpl w:val="8CAC2A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D17CD9"/>
    <w:multiLevelType w:val="hybridMultilevel"/>
    <w:tmpl w:val="5894C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
  </w:num>
  <w:num w:numId="5">
    <w:abstractNumId w:val="12"/>
  </w:num>
  <w:num w:numId="6">
    <w:abstractNumId w:val="7"/>
  </w:num>
  <w:num w:numId="7">
    <w:abstractNumId w:val="10"/>
  </w:num>
  <w:num w:numId="8">
    <w:abstractNumId w:val="6"/>
  </w:num>
  <w:num w:numId="9">
    <w:abstractNumId w:val="4"/>
  </w:num>
  <w:num w:numId="10">
    <w:abstractNumId w:val="3"/>
  </w:num>
  <w:num w:numId="11">
    <w:abstractNumId w:val="13"/>
  </w:num>
  <w:num w:numId="12">
    <w:abstractNumId w:val="8"/>
  </w:num>
  <w:num w:numId="13">
    <w:abstractNumId w:val="14"/>
  </w:num>
  <w:num w:numId="14">
    <w:abstractNumId w:val="0"/>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06F05"/>
    <w:rsid w:val="000B28BB"/>
    <w:rsid w:val="000D3CFE"/>
    <w:rsid w:val="001075DE"/>
    <w:rsid w:val="00115C4A"/>
    <w:rsid w:val="0013457C"/>
    <w:rsid w:val="00146749"/>
    <w:rsid w:val="00146CFD"/>
    <w:rsid w:val="001C321E"/>
    <w:rsid w:val="002A4FE3"/>
    <w:rsid w:val="002B286C"/>
    <w:rsid w:val="002C7428"/>
    <w:rsid w:val="002D7B20"/>
    <w:rsid w:val="002E4265"/>
    <w:rsid w:val="00337FB0"/>
    <w:rsid w:val="00343891"/>
    <w:rsid w:val="00407938"/>
    <w:rsid w:val="00440F78"/>
    <w:rsid w:val="00454194"/>
    <w:rsid w:val="0046281D"/>
    <w:rsid w:val="00490188"/>
    <w:rsid w:val="00494E87"/>
    <w:rsid w:val="00497223"/>
    <w:rsid w:val="004C4538"/>
    <w:rsid w:val="005119F0"/>
    <w:rsid w:val="005469DD"/>
    <w:rsid w:val="00567ADE"/>
    <w:rsid w:val="005769B5"/>
    <w:rsid w:val="005C2F81"/>
    <w:rsid w:val="005D0B6A"/>
    <w:rsid w:val="005F13ED"/>
    <w:rsid w:val="006C231D"/>
    <w:rsid w:val="006F0760"/>
    <w:rsid w:val="00720619"/>
    <w:rsid w:val="00722F3A"/>
    <w:rsid w:val="00737B85"/>
    <w:rsid w:val="007B0F10"/>
    <w:rsid w:val="007F0D00"/>
    <w:rsid w:val="007F6D0E"/>
    <w:rsid w:val="00801E3D"/>
    <w:rsid w:val="008667AC"/>
    <w:rsid w:val="00882E73"/>
    <w:rsid w:val="008D1695"/>
    <w:rsid w:val="008F3F57"/>
    <w:rsid w:val="009B4E72"/>
    <w:rsid w:val="009F42FD"/>
    <w:rsid w:val="009F713E"/>
    <w:rsid w:val="00AB4B4D"/>
    <w:rsid w:val="00AD29C5"/>
    <w:rsid w:val="00AD4C31"/>
    <w:rsid w:val="00AE188B"/>
    <w:rsid w:val="00B06287"/>
    <w:rsid w:val="00B21D8D"/>
    <w:rsid w:val="00B33B45"/>
    <w:rsid w:val="00B675D2"/>
    <w:rsid w:val="00B951CE"/>
    <w:rsid w:val="00BD1BB9"/>
    <w:rsid w:val="00C110EB"/>
    <w:rsid w:val="00CD689C"/>
    <w:rsid w:val="00D13FFB"/>
    <w:rsid w:val="00DB4E26"/>
    <w:rsid w:val="00E91653"/>
    <w:rsid w:val="00EB574E"/>
    <w:rsid w:val="00F63039"/>
    <w:rsid w:val="00F83A74"/>
    <w:rsid w:val="00FE05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567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D2"/>
  </w:style>
  <w:style w:type="paragraph" w:styleId="Footer">
    <w:name w:val="footer"/>
    <w:basedOn w:val="Normal"/>
    <w:link w:val="FooterChar"/>
    <w:uiPriority w:val="99"/>
    <w:unhideWhenUsed/>
    <w:rsid w:val="00B6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D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1785-7DA0-45CE-91C3-4830C110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Pretorius</dc:creator>
  <cp:lastModifiedBy>USER</cp:lastModifiedBy>
  <cp:revision>2</cp:revision>
  <dcterms:created xsi:type="dcterms:W3CDTF">2019-02-14T09:32:00Z</dcterms:created>
  <dcterms:modified xsi:type="dcterms:W3CDTF">2019-02-14T09:32:00Z</dcterms:modified>
</cp:coreProperties>
</file>