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BD6E69">
      <w:pPr>
        <w:rPr>
          <w:rFonts w:cs="Arial"/>
          <w:b/>
          <w:szCs w:val="22"/>
          <w:lang w:val="en-US" w:eastAsia="en-US"/>
        </w:rPr>
      </w:pP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C61255">
        <w:rPr>
          <w:b/>
          <w:bCs/>
          <w:sz w:val="24"/>
          <w:szCs w:val="24"/>
        </w:rPr>
        <w:t>7</w:t>
      </w:r>
      <w:r w:rsidR="0055292A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 [</w:t>
      </w:r>
      <w:r w:rsidR="00370DE9">
        <w:rPr>
          <w:rFonts w:eastAsia="Calibri" w:cs="Arial"/>
          <w:b/>
          <w:sz w:val="24"/>
          <w:szCs w:val="24"/>
          <w:lang w:eastAsia="en-US"/>
        </w:rPr>
        <w:t>NW3332</w:t>
      </w:r>
      <w:r w:rsidR="00B5521F" w:rsidRPr="00B5521F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29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02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B7238D">
        <w:rPr>
          <w:b/>
          <w:bCs/>
          <w:sz w:val="24"/>
          <w:szCs w:val="24"/>
        </w:rPr>
        <w:t>15</w:t>
      </w:r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BD6E69">
      <w:pPr>
        <w:rPr>
          <w:sz w:val="24"/>
          <w:szCs w:val="24"/>
        </w:rPr>
      </w:pPr>
    </w:p>
    <w:p w:rsidR="0071291F" w:rsidRDefault="00370DE9" w:rsidP="00BD6E69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bookmarkStart w:id="0" w:name="_GoBack"/>
      <w:r>
        <w:rPr>
          <w:rFonts w:cs="Arial"/>
          <w:b/>
          <w:bCs/>
          <w:sz w:val="24"/>
          <w:szCs w:val="24"/>
        </w:rPr>
        <w:t>2750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5521F" w:rsidRPr="00B5521F">
        <w:rPr>
          <w:rFonts w:cs="Arial"/>
          <w:b/>
          <w:bCs/>
          <w:sz w:val="24"/>
          <w:szCs w:val="24"/>
          <w:lang w:eastAsia="en-US"/>
        </w:rPr>
        <w:t>Ms S J Graham (DA)</w:t>
      </w:r>
      <w:bookmarkEnd w:id="0"/>
      <w:r w:rsidR="00B5521F" w:rsidRPr="00B5521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3A6CD7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3A6CD7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370DE9" w:rsidRPr="00370DE9" w:rsidRDefault="00370DE9" w:rsidP="00370DE9">
      <w:pPr>
        <w:autoSpaceDE w:val="0"/>
        <w:autoSpaceDN w:val="0"/>
        <w:adjustRightInd w:val="0"/>
        <w:spacing w:line="276" w:lineRule="auto"/>
        <w:rPr>
          <w:rFonts w:eastAsiaTheme="minorHAnsi" w:cs="Arial"/>
          <w:color w:val="000000"/>
          <w:sz w:val="24"/>
          <w:szCs w:val="24"/>
          <w:lang w:val="en-US" w:eastAsia="en-US"/>
        </w:rPr>
      </w:pPr>
    </w:p>
    <w:p w:rsidR="00370DE9" w:rsidRPr="000D6859" w:rsidRDefault="00370DE9" w:rsidP="000D68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1260" w:hanging="54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0D6859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was the membership of the (a) Council for the Built Environment and (b) six Built Environment Professional Councils for the past five years; </w:t>
      </w:r>
    </w:p>
    <w:p w:rsidR="00370DE9" w:rsidRPr="00370DE9" w:rsidRDefault="00370DE9" w:rsidP="000D685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1260" w:hanging="54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370DE9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total number of voluntary associations are registered with the various Councils; </w:t>
      </w:r>
    </w:p>
    <w:p w:rsidR="00370DE9" w:rsidRPr="00370DE9" w:rsidRDefault="00370DE9" w:rsidP="00370DE9">
      <w:pPr>
        <w:autoSpaceDE w:val="0"/>
        <w:autoSpaceDN w:val="0"/>
        <w:adjustRightInd w:val="0"/>
        <w:spacing w:after="200" w:line="276" w:lineRule="auto"/>
        <w:ind w:left="1260" w:hanging="540"/>
        <w:rPr>
          <w:rFonts w:eastAsiaTheme="minorHAnsi" w:cs="Arial"/>
          <w:color w:val="000000"/>
          <w:sz w:val="24"/>
          <w:szCs w:val="24"/>
          <w:lang w:val="en-US" w:eastAsia="en-US"/>
        </w:rPr>
      </w:pPr>
      <w:r>
        <w:rPr>
          <w:rFonts w:eastAsiaTheme="minorHAnsi" w:cs="Arial"/>
          <w:color w:val="000000"/>
          <w:sz w:val="24"/>
          <w:szCs w:val="24"/>
          <w:lang w:val="en-US" w:eastAsia="en-US"/>
        </w:rPr>
        <w:t>(3)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370DE9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total number of parallel professional structures exist in competition with the various Councils; </w:t>
      </w:r>
    </w:p>
    <w:p w:rsidR="00370DE9" w:rsidRPr="00370DE9" w:rsidRDefault="00370DE9" w:rsidP="00370DE9">
      <w:pPr>
        <w:spacing w:before="240"/>
        <w:ind w:left="1260" w:hanging="540"/>
        <w:outlineLvl w:val="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370DE9">
        <w:rPr>
          <w:rFonts w:eastAsiaTheme="minorHAnsi" w:cs="Arial"/>
          <w:color w:val="000000"/>
          <w:sz w:val="24"/>
          <w:szCs w:val="24"/>
          <w:lang w:val="en-US" w:eastAsia="en-US"/>
        </w:rPr>
        <w:t>(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>4)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370DE9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(a) total number of voluntary associations are registered with the additional structures and (b) is the estimated membership of each specified structure? 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8A3370">
        <w:rPr>
          <w:rFonts w:eastAsiaTheme="minorHAnsi" w:cs="Arial"/>
          <w:b/>
          <w:color w:val="000000"/>
          <w:sz w:val="20"/>
          <w:lang w:val="en-US" w:eastAsia="en-US"/>
        </w:rPr>
        <w:t>NW3332E</w:t>
      </w:r>
    </w:p>
    <w:p w:rsidR="00827605" w:rsidRPr="00D21FE5" w:rsidRDefault="00745B02" w:rsidP="00370DE9">
      <w:pPr>
        <w:spacing w:before="240"/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171275" w:rsidRDefault="00171275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F7F06" w:rsidRDefault="00D44791" w:rsidP="00DF7F06">
      <w:pPr>
        <w:rPr>
          <w:sz w:val="24"/>
          <w:szCs w:val="24"/>
        </w:rPr>
      </w:pPr>
    </w:p>
    <w:p w:rsidR="003E314B" w:rsidRPr="008A3370" w:rsidRDefault="00745B02" w:rsidP="00CD1764">
      <w:pPr>
        <w:spacing w:line="360" w:lineRule="auto"/>
        <w:rPr>
          <w:bCs/>
          <w:sz w:val="24"/>
          <w:szCs w:val="24"/>
        </w:rPr>
      </w:pPr>
      <w:r w:rsidRPr="008A3370">
        <w:rPr>
          <w:b/>
          <w:bCs/>
          <w:sz w:val="24"/>
          <w:szCs w:val="24"/>
        </w:rPr>
        <w:t xml:space="preserve">The Minister of </w:t>
      </w:r>
      <w:r w:rsidR="00922748" w:rsidRPr="008A3370">
        <w:rPr>
          <w:b/>
          <w:bCs/>
          <w:sz w:val="24"/>
          <w:szCs w:val="24"/>
        </w:rPr>
        <w:t>Public Works and Infrastructure</w:t>
      </w:r>
      <w:r w:rsidR="003713B4">
        <w:rPr>
          <w:b/>
          <w:bCs/>
          <w:sz w:val="24"/>
          <w:szCs w:val="24"/>
        </w:rPr>
        <w:t>:</w:t>
      </w:r>
    </w:p>
    <w:p w:rsidR="00C42257" w:rsidRDefault="00C42257" w:rsidP="00920411">
      <w:pPr>
        <w:spacing w:line="360" w:lineRule="auto"/>
        <w:ind w:left="720" w:hanging="720"/>
        <w:rPr>
          <w:bCs/>
          <w:sz w:val="24"/>
          <w:szCs w:val="24"/>
        </w:rPr>
      </w:pPr>
    </w:p>
    <w:p w:rsidR="00171275" w:rsidRDefault="00171275" w:rsidP="00D96B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3713B4">
        <w:rPr>
          <w:sz w:val="24"/>
          <w:szCs w:val="24"/>
        </w:rPr>
        <w:t>I have been informed by the Council for the Built Environment that:</w:t>
      </w:r>
    </w:p>
    <w:p w:rsidR="00D96B7C" w:rsidRDefault="00171275" w:rsidP="00171275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3713B4">
        <w:rPr>
          <w:sz w:val="24"/>
          <w:szCs w:val="24"/>
        </w:rPr>
        <w:t>t</w:t>
      </w:r>
      <w:r w:rsidR="00D96B7C">
        <w:rPr>
          <w:sz w:val="24"/>
          <w:szCs w:val="24"/>
        </w:rPr>
        <w:t xml:space="preserve">he </w:t>
      </w:r>
      <w:r w:rsidR="003713B4">
        <w:rPr>
          <w:sz w:val="24"/>
          <w:szCs w:val="24"/>
        </w:rPr>
        <w:t>CBE</w:t>
      </w:r>
      <w:r w:rsidR="00D96B7C">
        <w:rPr>
          <w:sz w:val="24"/>
          <w:szCs w:val="24"/>
        </w:rPr>
        <w:t xml:space="preserve"> does </w:t>
      </w:r>
      <w:r w:rsidR="00B7238D">
        <w:rPr>
          <w:sz w:val="24"/>
          <w:szCs w:val="24"/>
        </w:rPr>
        <w:t>not have</w:t>
      </w:r>
      <w:r w:rsidR="00D96B7C">
        <w:rPr>
          <w:sz w:val="24"/>
          <w:szCs w:val="24"/>
        </w:rPr>
        <w:t xml:space="preserve"> members that register with </w:t>
      </w:r>
      <w:r w:rsidR="003713B4">
        <w:rPr>
          <w:sz w:val="24"/>
          <w:szCs w:val="24"/>
        </w:rPr>
        <w:t>it like the Councils for the Built E</w:t>
      </w:r>
      <w:r w:rsidR="00D96B7C">
        <w:rPr>
          <w:sz w:val="24"/>
          <w:szCs w:val="24"/>
        </w:rPr>
        <w:t>nvironment (CBEP). It is an umbrella body charged with the mandate, among others, of promoting</w:t>
      </w:r>
      <w:r w:rsidR="00D96B7C" w:rsidRPr="001F50EF">
        <w:rPr>
          <w:sz w:val="24"/>
          <w:szCs w:val="24"/>
        </w:rPr>
        <w:t xml:space="preserve"> sound governance of the built environment professions</w:t>
      </w:r>
      <w:r w:rsidR="00D96B7C">
        <w:rPr>
          <w:sz w:val="24"/>
          <w:szCs w:val="24"/>
        </w:rPr>
        <w:t xml:space="preserve"> and also in line with Section 3 (h) of its establishing Act, the Council for the Built Environment Act, 2000 (Act No. 43 of 2000):-</w:t>
      </w:r>
    </w:p>
    <w:p w:rsidR="00D96B7C" w:rsidRDefault="00D96B7C" w:rsidP="00FA565D">
      <w:pPr>
        <w:ind w:left="720" w:hanging="720"/>
        <w:rPr>
          <w:bCs/>
          <w:sz w:val="24"/>
          <w:szCs w:val="24"/>
        </w:rPr>
      </w:pPr>
    </w:p>
    <w:p w:rsidR="00F0081F" w:rsidRPr="001F50EF" w:rsidRDefault="00F0081F" w:rsidP="00171275">
      <w:pPr>
        <w:pStyle w:val="ListParagraph"/>
        <w:numPr>
          <w:ilvl w:val="0"/>
          <w:numId w:val="48"/>
        </w:numPr>
        <w:spacing w:line="276" w:lineRule="auto"/>
        <w:ind w:left="2070" w:hanging="630"/>
        <w:rPr>
          <w:sz w:val="24"/>
          <w:szCs w:val="24"/>
        </w:rPr>
      </w:pPr>
      <w:r w:rsidRPr="001F50EF">
        <w:rPr>
          <w:sz w:val="24"/>
          <w:szCs w:val="24"/>
        </w:rPr>
        <w:t>serve as a forum where the representatives of the built environment professions may discuss the relevant—</w:t>
      </w:r>
    </w:p>
    <w:p w:rsidR="00F0081F" w:rsidRPr="00171275" w:rsidRDefault="00F0081F" w:rsidP="00171275">
      <w:pPr>
        <w:pStyle w:val="ListParagraph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171275">
        <w:rPr>
          <w:sz w:val="24"/>
          <w:szCs w:val="24"/>
        </w:rPr>
        <w:t>required qualifications;</w:t>
      </w:r>
    </w:p>
    <w:p w:rsidR="00F0081F" w:rsidRPr="00171275" w:rsidRDefault="00F0081F" w:rsidP="00171275">
      <w:pPr>
        <w:pStyle w:val="ListParagraph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171275">
        <w:rPr>
          <w:sz w:val="24"/>
          <w:szCs w:val="24"/>
        </w:rPr>
        <w:t>standards of education;</w:t>
      </w:r>
    </w:p>
    <w:p w:rsidR="00F0081F" w:rsidRPr="00171275" w:rsidRDefault="00F0081F" w:rsidP="00171275">
      <w:pPr>
        <w:pStyle w:val="ListParagraph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171275">
        <w:rPr>
          <w:sz w:val="24"/>
          <w:szCs w:val="24"/>
        </w:rPr>
        <w:t>training and competence;</w:t>
      </w:r>
    </w:p>
    <w:p w:rsidR="00F0081F" w:rsidRPr="001F50EF" w:rsidRDefault="00F0081F" w:rsidP="00506244">
      <w:pPr>
        <w:tabs>
          <w:tab w:val="left" w:pos="2790"/>
        </w:tabs>
        <w:spacing w:line="276" w:lineRule="auto"/>
        <w:ind w:firstLine="2070"/>
        <w:rPr>
          <w:sz w:val="24"/>
          <w:szCs w:val="24"/>
        </w:rPr>
      </w:pPr>
      <w:r w:rsidRPr="001F50EF">
        <w:rPr>
          <w:sz w:val="24"/>
          <w:szCs w:val="24"/>
        </w:rPr>
        <w:t>(</w:t>
      </w:r>
      <w:r w:rsidR="00171275">
        <w:rPr>
          <w:sz w:val="24"/>
          <w:szCs w:val="24"/>
        </w:rPr>
        <w:t>iv)</w:t>
      </w:r>
      <w:r w:rsidR="00171275">
        <w:rPr>
          <w:sz w:val="24"/>
          <w:szCs w:val="24"/>
        </w:rPr>
        <w:tab/>
      </w:r>
      <w:r w:rsidRPr="001F50EF">
        <w:rPr>
          <w:sz w:val="24"/>
          <w:szCs w:val="24"/>
        </w:rPr>
        <w:t>promo</w:t>
      </w:r>
      <w:r>
        <w:rPr>
          <w:sz w:val="24"/>
          <w:szCs w:val="24"/>
        </w:rPr>
        <w:t xml:space="preserve">tion of professional status; </w:t>
      </w:r>
    </w:p>
    <w:p w:rsidR="00506244" w:rsidRPr="00506244" w:rsidRDefault="00F0081F" w:rsidP="00506244">
      <w:pPr>
        <w:pStyle w:val="ListParagraph"/>
        <w:numPr>
          <w:ilvl w:val="0"/>
          <w:numId w:val="50"/>
        </w:numPr>
        <w:tabs>
          <w:tab w:val="left" w:pos="2790"/>
        </w:tabs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legislation impacting on the built environment; and</w:t>
      </w:r>
    </w:p>
    <w:p w:rsidR="00F0081F" w:rsidRPr="00506244" w:rsidRDefault="00F0081F" w:rsidP="00506244">
      <w:pPr>
        <w:pStyle w:val="ListParagraph"/>
        <w:numPr>
          <w:ilvl w:val="0"/>
          <w:numId w:val="50"/>
        </w:numPr>
        <w:tabs>
          <w:tab w:val="left" w:pos="2790"/>
        </w:tabs>
        <w:spacing w:line="276" w:lineRule="auto"/>
        <w:rPr>
          <w:sz w:val="24"/>
          <w:szCs w:val="24"/>
        </w:rPr>
      </w:pPr>
      <w:r w:rsidRPr="00506244">
        <w:rPr>
          <w:sz w:val="24"/>
          <w:szCs w:val="24"/>
        </w:rPr>
        <w:t>ensure the uniform application of norms and guidelines set by the councils for</w:t>
      </w:r>
      <w:r w:rsidR="00171275" w:rsidRPr="00506244">
        <w:rPr>
          <w:sz w:val="24"/>
          <w:szCs w:val="24"/>
        </w:rPr>
        <w:t xml:space="preserve"> </w:t>
      </w:r>
      <w:r w:rsidRPr="00506244">
        <w:rPr>
          <w:sz w:val="24"/>
          <w:szCs w:val="24"/>
        </w:rPr>
        <w:t>the professions throughout the built environment.</w:t>
      </w:r>
    </w:p>
    <w:p w:rsidR="00F0081F" w:rsidRDefault="00F0081F" w:rsidP="00F0081F">
      <w:pPr>
        <w:rPr>
          <w:sz w:val="24"/>
          <w:szCs w:val="24"/>
        </w:rPr>
      </w:pPr>
    </w:p>
    <w:p w:rsidR="00F0081F" w:rsidRDefault="00FA565D" w:rsidP="00FA56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S</w:t>
      </w:r>
      <w:r w:rsidR="00F0081F">
        <w:rPr>
          <w:sz w:val="24"/>
          <w:szCs w:val="24"/>
        </w:rPr>
        <w:t>ee table below</w:t>
      </w:r>
    </w:p>
    <w:p w:rsidR="008A3370" w:rsidRDefault="008A3370" w:rsidP="008A3370">
      <w:pPr>
        <w:rPr>
          <w:sz w:val="24"/>
          <w:szCs w:val="24"/>
        </w:rPr>
      </w:pPr>
    </w:p>
    <w:tbl>
      <w:tblPr>
        <w:tblW w:w="8289" w:type="dxa"/>
        <w:tblInd w:w="1456" w:type="dxa"/>
        <w:tblLook w:val="04A0"/>
      </w:tblPr>
      <w:tblGrid>
        <w:gridCol w:w="3173"/>
        <w:gridCol w:w="1279"/>
        <w:gridCol w:w="1279"/>
        <w:gridCol w:w="1279"/>
        <w:gridCol w:w="1279"/>
      </w:tblGrid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70" w:rsidRPr="004A7C61" w:rsidRDefault="008A3370" w:rsidP="008752BF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4A7C61">
              <w:rPr>
                <w:rFonts w:cs="Arial"/>
                <w:b/>
                <w:bCs/>
                <w:szCs w:val="22"/>
                <w:lang w:eastAsia="en-ZA"/>
              </w:rPr>
              <w:t>Name of the Council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70" w:rsidRPr="004A7C61" w:rsidRDefault="008A3370" w:rsidP="008752BF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4A7C61">
              <w:rPr>
                <w:rFonts w:cs="Arial"/>
                <w:b/>
                <w:bCs/>
                <w:szCs w:val="22"/>
                <w:lang w:eastAsia="en-ZA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70" w:rsidRPr="004A7C61" w:rsidRDefault="008A3370" w:rsidP="008752BF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4A7C61">
              <w:rPr>
                <w:rFonts w:cs="Arial"/>
                <w:b/>
                <w:bCs/>
                <w:szCs w:val="22"/>
                <w:lang w:eastAsia="en-ZA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70" w:rsidRPr="004A7C61" w:rsidRDefault="008A3370" w:rsidP="008752BF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4A7C61">
              <w:rPr>
                <w:rFonts w:cs="Arial"/>
                <w:b/>
                <w:bCs/>
                <w:szCs w:val="22"/>
                <w:lang w:eastAsia="en-ZA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3370" w:rsidRPr="004A7C61" w:rsidRDefault="008A3370" w:rsidP="008752BF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4A7C61">
              <w:rPr>
                <w:rFonts w:cs="Arial"/>
                <w:b/>
                <w:bCs/>
                <w:szCs w:val="22"/>
                <w:lang w:eastAsia="en-ZA"/>
              </w:rPr>
              <w:t>2021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ECSA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49334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57867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55730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61799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SACAP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9988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10982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11859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11790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SACLAP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282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330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374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403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SACQSP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4098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4454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SACPVP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5122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2075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1886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1894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SACPCMP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3207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6843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7367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11422</w:t>
            </w:r>
          </w:p>
        </w:tc>
      </w:tr>
      <w:tr w:rsidR="008A3370" w:rsidRPr="004A7C61" w:rsidTr="00FA565D">
        <w:trPr>
          <w:trHeight w:val="41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72031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82519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81346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8A3370" w:rsidRPr="004A7C61" w:rsidRDefault="008A3370" w:rsidP="008752BF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</w:pPr>
            <w:r w:rsidRPr="004A7C61">
              <w:rPr>
                <w:rFonts w:ascii="Calibri" w:hAnsi="Calibri" w:cs="Calibri"/>
                <w:b/>
                <w:bCs/>
                <w:color w:val="000000"/>
                <w:szCs w:val="22"/>
                <w:lang w:eastAsia="en-ZA"/>
              </w:rPr>
              <w:t>91762</w:t>
            </w:r>
          </w:p>
        </w:tc>
      </w:tr>
    </w:tbl>
    <w:p w:rsidR="008A3370" w:rsidRDefault="008A3370" w:rsidP="00FA565D">
      <w:pPr>
        <w:rPr>
          <w:bCs/>
          <w:sz w:val="24"/>
          <w:szCs w:val="24"/>
        </w:rPr>
      </w:pPr>
    </w:p>
    <w:p w:rsidR="008A3370" w:rsidRPr="008A3370" w:rsidRDefault="008A3370" w:rsidP="008A337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(2)</w:t>
      </w:r>
      <w:r w:rsidR="00FA565D">
        <w:rPr>
          <w:bCs/>
          <w:sz w:val="24"/>
          <w:szCs w:val="24"/>
        </w:rPr>
        <w:tab/>
      </w:r>
    </w:p>
    <w:p w:rsidR="008A3370" w:rsidRPr="00754432" w:rsidRDefault="008A3370" w:rsidP="00FA565D">
      <w:pPr>
        <w:spacing w:after="160"/>
        <w:ind w:firstLine="720"/>
        <w:rPr>
          <w:rFonts w:eastAsia="Calibri" w:cs="Arial"/>
          <w:b/>
          <w:szCs w:val="22"/>
        </w:rPr>
      </w:pPr>
      <w:r w:rsidRPr="00754432">
        <w:rPr>
          <w:rFonts w:eastAsia="Calibri" w:cs="Arial"/>
          <w:b/>
          <w:szCs w:val="22"/>
        </w:rPr>
        <w:t xml:space="preserve">Table </w:t>
      </w:r>
      <w:r>
        <w:rPr>
          <w:rFonts w:eastAsia="Calibri" w:cs="Arial"/>
          <w:b/>
          <w:szCs w:val="22"/>
        </w:rPr>
        <w:t>1</w:t>
      </w:r>
      <w:r w:rsidRPr="00754432">
        <w:rPr>
          <w:rFonts w:eastAsia="Calibri" w:cs="Arial"/>
          <w:b/>
          <w:szCs w:val="22"/>
        </w:rPr>
        <w:t>: Number of V</w:t>
      </w:r>
      <w:r>
        <w:rPr>
          <w:rFonts w:eastAsia="Calibri" w:cs="Arial"/>
          <w:b/>
          <w:szCs w:val="22"/>
        </w:rPr>
        <w:t xml:space="preserve">oluntary </w:t>
      </w:r>
      <w:r w:rsidRPr="00754432">
        <w:rPr>
          <w:rFonts w:eastAsia="Calibri" w:cs="Arial"/>
          <w:b/>
          <w:szCs w:val="22"/>
        </w:rPr>
        <w:t>A</w:t>
      </w:r>
      <w:r>
        <w:rPr>
          <w:rFonts w:eastAsia="Calibri" w:cs="Arial"/>
          <w:b/>
          <w:szCs w:val="22"/>
        </w:rPr>
        <w:t>ssociation</w:t>
      </w:r>
      <w:r w:rsidRPr="00754432">
        <w:rPr>
          <w:rFonts w:eastAsia="Calibri" w:cs="Arial"/>
          <w:b/>
          <w:szCs w:val="22"/>
        </w:rPr>
        <w:t xml:space="preserve">s </w:t>
      </w:r>
      <w:r>
        <w:rPr>
          <w:rFonts w:eastAsia="Calibri" w:cs="Arial"/>
          <w:b/>
          <w:szCs w:val="22"/>
        </w:rPr>
        <w:t>R</w:t>
      </w:r>
      <w:r w:rsidRPr="00754432">
        <w:rPr>
          <w:rFonts w:eastAsia="Calibri" w:cs="Arial"/>
          <w:b/>
          <w:szCs w:val="22"/>
        </w:rPr>
        <w:t>ecognised by the CBEP</w:t>
      </w:r>
    </w:p>
    <w:tbl>
      <w:tblPr>
        <w:tblStyle w:val="TableGrid"/>
        <w:tblW w:w="9016" w:type="dxa"/>
        <w:tblInd w:w="726" w:type="dxa"/>
        <w:tblLook w:val="04A0"/>
      </w:tblPr>
      <w:tblGrid>
        <w:gridCol w:w="1696"/>
        <w:gridCol w:w="3261"/>
        <w:gridCol w:w="4059"/>
      </w:tblGrid>
      <w:tr w:rsidR="008A3370" w:rsidRPr="00754432" w:rsidTr="00FA565D">
        <w:tc>
          <w:tcPr>
            <w:tcW w:w="1696" w:type="dxa"/>
            <w:shd w:val="clear" w:color="auto" w:fill="E36C0A" w:themeFill="accent6" w:themeFillShade="BF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8A3370">
              <w:rPr>
                <w:rFonts w:eastAsia="Calibri" w:cs="Arial"/>
                <w:b/>
                <w:sz w:val="24"/>
                <w:szCs w:val="24"/>
              </w:rPr>
              <w:t>CBEP</w:t>
            </w:r>
          </w:p>
        </w:tc>
        <w:tc>
          <w:tcPr>
            <w:tcW w:w="3261" w:type="dxa"/>
            <w:shd w:val="clear" w:color="auto" w:fill="E36C0A" w:themeFill="accent6" w:themeFillShade="BF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8A3370">
              <w:rPr>
                <w:rFonts w:eastAsia="Calibri" w:cs="Arial"/>
                <w:b/>
                <w:sz w:val="24"/>
                <w:szCs w:val="24"/>
              </w:rPr>
              <w:t>Number of VAs Recognised</w:t>
            </w:r>
          </w:p>
        </w:tc>
        <w:tc>
          <w:tcPr>
            <w:tcW w:w="4059" w:type="dxa"/>
            <w:shd w:val="clear" w:color="auto" w:fill="E36C0A" w:themeFill="accent6" w:themeFillShade="BF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b/>
                <w:sz w:val="24"/>
                <w:szCs w:val="24"/>
              </w:rPr>
            </w:pPr>
            <w:r w:rsidRPr="008A3370">
              <w:rPr>
                <w:rFonts w:eastAsia="Calibri" w:cs="Arial"/>
                <w:b/>
                <w:sz w:val="24"/>
                <w:szCs w:val="24"/>
              </w:rPr>
              <w:t>Number of VAs Not Recognised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SACAP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13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0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 xml:space="preserve">SACLAP 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0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ECSA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51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0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SACPVP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0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SACPCMP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13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3</w:t>
            </w:r>
          </w:p>
        </w:tc>
      </w:tr>
      <w:tr w:rsidR="008A3370" w:rsidRPr="00754432" w:rsidTr="00FA565D">
        <w:tc>
          <w:tcPr>
            <w:tcW w:w="1696" w:type="dxa"/>
          </w:tcPr>
          <w:p w:rsidR="008A3370" w:rsidRPr="008A3370" w:rsidRDefault="008A3370" w:rsidP="008752BF">
            <w:pPr>
              <w:spacing w:after="160" w:line="276" w:lineRule="auto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SACQSP</w:t>
            </w:r>
          </w:p>
        </w:tc>
        <w:tc>
          <w:tcPr>
            <w:tcW w:w="3261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8A3370" w:rsidRPr="008A3370" w:rsidRDefault="008A3370" w:rsidP="008752BF">
            <w:pPr>
              <w:spacing w:after="160" w:line="276" w:lineRule="auto"/>
              <w:jc w:val="right"/>
              <w:rPr>
                <w:rFonts w:eastAsia="Calibri" w:cs="Arial"/>
                <w:sz w:val="24"/>
                <w:szCs w:val="24"/>
              </w:rPr>
            </w:pPr>
            <w:r w:rsidRPr="008A3370">
              <w:rPr>
                <w:rFonts w:eastAsia="Calibri" w:cs="Arial"/>
                <w:sz w:val="24"/>
                <w:szCs w:val="24"/>
              </w:rPr>
              <w:t>1</w:t>
            </w:r>
          </w:p>
        </w:tc>
      </w:tr>
    </w:tbl>
    <w:p w:rsidR="008A3370" w:rsidRDefault="008A3370" w:rsidP="00FA565D">
      <w:pPr>
        <w:spacing w:after="160"/>
        <w:ind w:firstLine="720"/>
        <w:rPr>
          <w:rFonts w:cs="Arial"/>
          <w:b/>
          <w:iCs/>
          <w:color w:val="F79646" w:themeColor="accent6"/>
          <w:szCs w:val="22"/>
        </w:rPr>
      </w:pPr>
      <w:r>
        <w:rPr>
          <w:rFonts w:cs="Arial"/>
          <w:b/>
          <w:iCs/>
          <w:color w:val="F79646" w:themeColor="accent6"/>
          <w:szCs w:val="22"/>
        </w:rPr>
        <w:t>(</w:t>
      </w:r>
      <w:r w:rsidRPr="00680AEC">
        <w:rPr>
          <w:rFonts w:cs="Arial"/>
          <w:b/>
          <w:iCs/>
          <w:color w:val="F79646" w:themeColor="accent6"/>
          <w:szCs w:val="22"/>
        </w:rPr>
        <w:t>Source: CBEP Fourth Quarter Report 20</w:t>
      </w:r>
      <w:r>
        <w:rPr>
          <w:rFonts w:cs="Arial"/>
          <w:b/>
          <w:iCs/>
          <w:color w:val="F79646" w:themeColor="accent6"/>
          <w:szCs w:val="22"/>
        </w:rPr>
        <w:t>20</w:t>
      </w:r>
      <w:r w:rsidRPr="00680AEC">
        <w:rPr>
          <w:rFonts w:cs="Arial"/>
          <w:b/>
          <w:iCs/>
          <w:color w:val="F79646" w:themeColor="accent6"/>
          <w:szCs w:val="22"/>
        </w:rPr>
        <w:t>/2</w:t>
      </w:r>
      <w:r>
        <w:rPr>
          <w:rFonts w:cs="Arial"/>
          <w:b/>
          <w:iCs/>
          <w:color w:val="F79646" w:themeColor="accent6"/>
          <w:szCs w:val="22"/>
        </w:rPr>
        <w:t>1)</w:t>
      </w:r>
    </w:p>
    <w:p w:rsidR="008A3370" w:rsidRPr="00245AC1" w:rsidRDefault="008A3370" w:rsidP="00FA565D">
      <w:pPr>
        <w:ind w:firstLine="720"/>
        <w:rPr>
          <w:rFonts w:eastAsia="Calibri" w:cs="Arial"/>
          <w:b/>
          <w:szCs w:val="22"/>
        </w:rPr>
      </w:pPr>
      <w:r w:rsidRPr="00245AC1">
        <w:rPr>
          <w:rFonts w:eastAsia="Calibri" w:cs="Arial"/>
          <w:b/>
          <w:szCs w:val="22"/>
        </w:rPr>
        <w:t xml:space="preserve">Reasons for </w:t>
      </w:r>
      <w:r>
        <w:rPr>
          <w:rFonts w:eastAsia="Calibri" w:cs="Arial"/>
          <w:b/>
          <w:szCs w:val="22"/>
        </w:rPr>
        <w:t>N</w:t>
      </w:r>
      <w:r w:rsidRPr="00245AC1">
        <w:rPr>
          <w:rFonts w:eastAsia="Calibri" w:cs="Arial"/>
          <w:b/>
          <w:szCs w:val="22"/>
        </w:rPr>
        <w:t xml:space="preserve">on - </w:t>
      </w:r>
      <w:r>
        <w:rPr>
          <w:rFonts w:eastAsia="Calibri" w:cs="Arial"/>
          <w:b/>
          <w:szCs w:val="22"/>
        </w:rPr>
        <w:t>R</w:t>
      </w:r>
      <w:r w:rsidRPr="00245AC1">
        <w:rPr>
          <w:rFonts w:eastAsia="Calibri" w:cs="Arial"/>
          <w:b/>
          <w:szCs w:val="22"/>
        </w:rPr>
        <w:t>ecognition of V</w:t>
      </w:r>
      <w:r>
        <w:rPr>
          <w:rFonts w:eastAsia="Calibri" w:cs="Arial"/>
          <w:b/>
          <w:szCs w:val="22"/>
        </w:rPr>
        <w:t xml:space="preserve">oluntary </w:t>
      </w:r>
      <w:r w:rsidRPr="00245AC1">
        <w:rPr>
          <w:rFonts w:eastAsia="Calibri" w:cs="Arial"/>
          <w:b/>
          <w:szCs w:val="22"/>
        </w:rPr>
        <w:t>As</w:t>
      </w:r>
      <w:r>
        <w:rPr>
          <w:rFonts w:eastAsia="Calibri" w:cs="Arial"/>
          <w:b/>
          <w:szCs w:val="22"/>
        </w:rPr>
        <w:t>sociations</w:t>
      </w:r>
    </w:p>
    <w:p w:rsidR="008A3370" w:rsidRDefault="008A3370" w:rsidP="008A3370">
      <w:pPr>
        <w:pStyle w:val="ListParagraph"/>
        <w:numPr>
          <w:ilvl w:val="0"/>
          <w:numId w:val="46"/>
        </w:numPr>
        <w:spacing w:after="200" w:line="360" w:lineRule="auto"/>
        <w:ind w:left="1134" w:hanging="349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Do not meet the minimum requirements of the guidelines for recognition.</w:t>
      </w:r>
    </w:p>
    <w:p w:rsidR="008A3370" w:rsidRDefault="008A3370" w:rsidP="008A3370">
      <w:pPr>
        <w:pStyle w:val="ListParagraph"/>
        <w:numPr>
          <w:ilvl w:val="0"/>
          <w:numId w:val="46"/>
        </w:numPr>
        <w:spacing w:after="200" w:line="360" w:lineRule="auto"/>
        <w:ind w:left="1134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CBEP await full compliance with requirements for recognition.</w:t>
      </w:r>
    </w:p>
    <w:p w:rsidR="008A3370" w:rsidRDefault="008A3370" w:rsidP="008A3370">
      <w:pPr>
        <w:spacing w:line="360" w:lineRule="auto"/>
        <w:rPr>
          <w:bCs/>
          <w:sz w:val="24"/>
          <w:szCs w:val="24"/>
        </w:rPr>
      </w:pPr>
    </w:p>
    <w:p w:rsidR="008A3370" w:rsidRPr="008A3370" w:rsidRDefault="008A3370" w:rsidP="008A3370">
      <w:pPr>
        <w:rPr>
          <w:rFonts w:eastAsia="Calibri" w:cs="Arial"/>
          <w:sz w:val="24"/>
          <w:szCs w:val="24"/>
        </w:rPr>
      </w:pPr>
      <w:r w:rsidRPr="008A3370">
        <w:rPr>
          <w:rFonts w:eastAsia="Calibri" w:cs="Arial"/>
          <w:sz w:val="24"/>
          <w:szCs w:val="24"/>
        </w:rPr>
        <w:t>(3)</w:t>
      </w:r>
      <w:r w:rsidR="00FA565D">
        <w:rPr>
          <w:rFonts w:eastAsia="Calibri" w:cs="Arial"/>
          <w:sz w:val="24"/>
          <w:szCs w:val="24"/>
        </w:rPr>
        <w:tab/>
      </w:r>
      <w:r w:rsidRPr="008A3370">
        <w:rPr>
          <w:rFonts w:eastAsia="Calibri" w:cs="Arial"/>
          <w:sz w:val="24"/>
          <w:szCs w:val="24"/>
        </w:rPr>
        <w:t>There are no parallel professional structures in competition with the six Councils.</w:t>
      </w:r>
    </w:p>
    <w:p w:rsidR="008A3370" w:rsidRPr="000D4258" w:rsidRDefault="008A3370" w:rsidP="008A3370">
      <w:pPr>
        <w:pStyle w:val="ListParagraph"/>
        <w:rPr>
          <w:rFonts w:eastAsia="Calibri" w:cs="Arial"/>
          <w:szCs w:val="22"/>
        </w:rPr>
      </w:pPr>
    </w:p>
    <w:p w:rsidR="008A3370" w:rsidRPr="008A3370" w:rsidRDefault="00FA565D" w:rsidP="008A337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(4)</w:t>
      </w:r>
      <w:r>
        <w:rPr>
          <w:bCs/>
          <w:sz w:val="24"/>
          <w:szCs w:val="24"/>
        </w:rPr>
        <w:tab/>
      </w:r>
      <w:r w:rsidR="008A3370" w:rsidRPr="008A3370">
        <w:rPr>
          <w:bCs/>
          <w:sz w:val="24"/>
          <w:szCs w:val="24"/>
        </w:rPr>
        <w:t>None</w:t>
      </w:r>
      <w:r w:rsidR="008A3370">
        <w:rPr>
          <w:bCs/>
          <w:sz w:val="24"/>
          <w:szCs w:val="24"/>
        </w:rPr>
        <w:t>. (a) and (b) fall away.</w:t>
      </w:r>
    </w:p>
    <w:p w:rsidR="00920411" w:rsidRDefault="00920411" w:rsidP="00920411">
      <w:pPr>
        <w:jc w:val="left"/>
        <w:rPr>
          <w:rFonts w:cs="Arial"/>
          <w:sz w:val="24"/>
          <w:szCs w:val="24"/>
          <w:lang w:val="en-US" w:eastAsia="en-US"/>
        </w:rPr>
      </w:pPr>
    </w:p>
    <w:sectPr w:rsidR="00920411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E" w:rsidRDefault="00FD464E" w:rsidP="00B01072">
      <w:r>
        <w:separator/>
      </w:r>
    </w:p>
  </w:endnote>
  <w:endnote w:type="continuationSeparator" w:id="0">
    <w:p w:rsidR="00FD464E" w:rsidRDefault="00FD464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55292A">
      <w:rPr>
        <w:rFonts w:eastAsiaTheme="majorEastAsia" w:cs="Arial"/>
        <w:b/>
        <w:bCs/>
        <w:sz w:val="18"/>
        <w:szCs w:val="18"/>
        <w:lang w:val="en-US"/>
      </w:rPr>
      <w:t>IONAL ASSEMBLY QUESTION NO. 2750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B5521F" w:rsidRPr="00B5521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3A6CD7" w:rsidRPr="003A6CD7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3A6CD7" w:rsidRPr="003A6CD7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FD464E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3A6CD7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E" w:rsidRDefault="00FD464E" w:rsidP="00B01072">
      <w:r>
        <w:separator/>
      </w:r>
    </w:p>
  </w:footnote>
  <w:footnote w:type="continuationSeparator" w:id="0">
    <w:p w:rsidR="00FD464E" w:rsidRDefault="00FD464E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365F1"/>
    <w:multiLevelType w:val="hybridMultilevel"/>
    <w:tmpl w:val="D1D2E21E"/>
    <w:lvl w:ilvl="0" w:tplc="3560F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53EC"/>
    <w:multiLevelType w:val="hybridMultilevel"/>
    <w:tmpl w:val="109C90AA"/>
    <w:lvl w:ilvl="0" w:tplc="995A7A02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6999"/>
    <w:multiLevelType w:val="hybridMultilevel"/>
    <w:tmpl w:val="C938EA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56819"/>
    <w:multiLevelType w:val="hybridMultilevel"/>
    <w:tmpl w:val="71E27632"/>
    <w:lvl w:ilvl="0" w:tplc="F446B1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5035DE"/>
    <w:multiLevelType w:val="hybridMultilevel"/>
    <w:tmpl w:val="31AC06F6"/>
    <w:lvl w:ilvl="0" w:tplc="1B527E50">
      <w:start w:val="1"/>
      <w:numFmt w:val="decimal"/>
      <w:lvlText w:val="(%1)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3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49CE"/>
    <w:multiLevelType w:val="hybridMultilevel"/>
    <w:tmpl w:val="C480D86E"/>
    <w:lvl w:ilvl="0" w:tplc="2744DB90">
      <w:start w:val="1"/>
      <w:numFmt w:val="decimal"/>
      <w:lvlText w:val="(%1)"/>
      <w:lvlJc w:val="left"/>
      <w:pPr>
        <w:ind w:left="7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</w:lvl>
    <w:lvl w:ilvl="3" w:tplc="0409000F" w:tentative="1">
      <w:start w:val="1"/>
      <w:numFmt w:val="decimal"/>
      <w:lvlText w:val="%4."/>
      <w:lvlJc w:val="left"/>
      <w:pPr>
        <w:ind w:left="9810" w:hanging="360"/>
      </w:p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</w:lvl>
    <w:lvl w:ilvl="6" w:tplc="0409000F" w:tentative="1">
      <w:start w:val="1"/>
      <w:numFmt w:val="decimal"/>
      <w:lvlText w:val="%7."/>
      <w:lvlJc w:val="left"/>
      <w:pPr>
        <w:ind w:left="11970" w:hanging="360"/>
      </w:p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25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F5F00"/>
    <w:multiLevelType w:val="hybridMultilevel"/>
    <w:tmpl w:val="6188F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F5560"/>
    <w:multiLevelType w:val="hybridMultilevel"/>
    <w:tmpl w:val="2664299A"/>
    <w:lvl w:ilvl="0" w:tplc="0C88F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5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0700E"/>
    <w:multiLevelType w:val="hybridMultilevel"/>
    <w:tmpl w:val="27A0B3A2"/>
    <w:lvl w:ilvl="0" w:tplc="911A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A2019"/>
    <w:multiLevelType w:val="hybridMultilevel"/>
    <w:tmpl w:val="A71ED268"/>
    <w:lvl w:ilvl="0" w:tplc="99748B68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BD5D10"/>
    <w:multiLevelType w:val="hybridMultilevel"/>
    <w:tmpl w:val="4E00C1CC"/>
    <w:lvl w:ilvl="0" w:tplc="CEA2C8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33"/>
  </w:num>
  <w:num w:numId="5">
    <w:abstractNumId w:val="11"/>
  </w:num>
  <w:num w:numId="6">
    <w:abstractNumId w:val="44"/>
  </w:num>
  <w:num w:numId="7">
    <w:abstractNumId w:val="40"/>
  </w:num>
  <w:num w:numId="8">
    <w:abstractNumId w:val="38"/>
  </w:num>
  <w:num w:numId="9">
    <w:abstractNumId w:val="6"/>
  </w:num>
  <w:num w:numId="10">
    <w:abstractNumId w:val="23"/>
  </w:num>
  <w:num w:numId="11">
    <w:abstractNumId w:val="5"/>
  </w:num>
  <w:num w:numId="12">
    <w:abstractNumId w:val="19"/>
  </w:num>
  <w:num w:numId="13">
    <w:abstractNumId w:val="13"/>
  </w:num>
  <w:num w:numId="14">
    <w:abstractNumId w:val="16"/>
  </w:num>
  <w:num w:numId="15">
    <w:abstractNumId w:val="4"/>
  </w:num>
  <w:num w:numId="16">
    <w:abstractNumId w:val="45"/>
  </w:num>
  <w:num w:numId="17">
    <w:abstractNumId w:val="9"/>
  </w:num>
  <w:num w:numId="18">
    <w:abstractNumId w:val="34"/>
  </w:num>
  <w:num w:numId="19">
    <w:abstractNumId w:val="12"/>
  </w:num>
  <w:num w:numId="20">
    <w:abstractNumId w:val="36"/>
  </w:num>
  <w:num w:numId="21">
    <w:abstractNumId w:val="0"/>
  </w:num>
  <w:num w:numId="22">
    <w:abstractNumId w:val="18"/>
  </w:num>
  <w:num w:numId="23">
    <w:abstractNumId w:val="28"/>
  </w:num>
  <w:num w:numId="24">
    <w:abstractNumId w:val="20"/>
  </w:num>
  <w:num w:numId="25">
    <w:abstractNumId w:val="26"/>
  </w:num>
  <w:num w:numId="26">
    <w:abstractNumId w:val="48"/>
  </w:num>
  <w:num w:numId="27">
    <w:abstractNumId w:val="37"/>
  </w:num>
  <w:num w:numId="28">
    <w:abstractNumId w:val="39"/>
  </w:num>
  <w:num w:numId="29">
    <w:abstractNumId w:val="42"/>
  </w:num>
  <w:num w:numId="30">
    <w:abstractNumId w:val="3"/>
  </w:num>
  <w:num w:numId="31">
    <w:abstractNumId w:val="43"/>
  </w:num>
  <w:num w:numId="32">
    <w:abstractNumId w:val="10"/>
  </w:num>
  <w:num w:numId="33">
    <w:abstractNumId w:val="27"/>
  </w:num>
  <w:num w:numId="34">
    <w:abstractNumId w:val="41"/>
  </w:num>
  <w:num w:numId="35">
    <w:abstractNumId w:val="30"/>
  </w:num>
  <w:num w:numId="36">
    <w:abstractNumId w:val="25"/>
  </w:num>
  <w:num w:numId="37">
    <w:abstractNumId w:val="29"/>
  </w:num>
  <w:num w:numId="38">
    <w:abstractNumId w:val="1"/>
  </w:num>
  <w:num w:numId="39">
    <w:abstractNumId w:val="15"/>
  </w:num>
  <w:num w:numId="40">
    <w:abstractNumId w:val="2"/>
  </w:num>
  <w:num w:numId="41">
    <w:abstractNumId w:val="22"/>
  </w:num>
  <w:num w:numId="42">
    <w:abstractNumId w:val="49"/>
  </w:num>
  <w:num w:numId="43">
    <w:abstractNumId w:val="24"/>
  </w:num>
  <w:num w:numId="44">
    <w:abstractNumId w:val="21"/>
  </w:num>
  <w:num w:numId="45">
    <w:abstractNumId w:val="32"/>
  </w:num>
  <w:num w:numId="46">
    <w:abstractNumId w:val="31"/>
  </w:num>
  <w:num w:numId="47">
    <w:abstractNumId w:val="46"/>
  </w:num>
  <w:num w:numId="48">
    <w:abstractNumId w:val="14"/>
  </w:num>
  <w:num w:numId="49">
    <w:abstractNumId w:val="47"/>
  </w:num>
  <w:num w:numId="5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3MDYzNzQysjA1tzRQ0lEKTi0uzszPAykwrAUACqVhwSwAAAA="/>
  </w:docVars>
  <w:rsids>
    <w:rsidRoot w:val="004D2F24"/>
    <w:rsid w:val="0000062A"/>
    <w:rsid w:val="0000341D"/>
    <w:rsid w:val="00005EA4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4258"/>
    <w:rsid w:val="000D5A5D"/>
    <w:rsid w:val="000D5FA6"/>
    <w:rsid w:val="000D600B"/>
    <w:rsid w:val="000D6859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1275"/>
    <w:rsid w:val="001729E9"/>
    <w:rsid w:val="001743CF"/>
    <w:rsid w:val="00174560"/>
    <w:rsid w:val="00176FC1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0EF"/>
    <w:rsid w:val="001F52E1"/>
    <w:rsid w:val="001F5F0C"/>
    <w:rsid w:val="001F65DF"/>
    <w:rsid w:val="001F698C"/>
    <w:rsid w:val="001F6D33"/>
    <w:rsid w:val="00200E04"/>
    <w:rsid w:val="00203E0F"/>
    <w:rsid w:val="002065B7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3C6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579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0DE9"/>
    <w:rsid w:val="003710A3"/>
    <w:rsid w:val="003713B4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A6CD7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3A47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244"/>
    <w:rsid w:val="00506A10"/>
    <w:rsid w:val="00507A2E"/>
    <w:rsid w:val="00510705"/>
    <w:rsid w:val="0051132C"/>
    <w:rsid w:val="00513616"/>
    <w:rsid w:val="00513712"/>
    <w:rsid w:val="00514D7E"/>
    <w:rsid w:val="00516C76"/>
    <w:rsid w:val="005174A1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292A"/>
    <w:rsid w:val="005540EB"/>
    <w:rsid w:val="00560836"/>
    <w:rsid w:val="00560E8F"/>
    <w:rsid w:val="00561E44"/>
    <w:rsid w:val="00563D73"/>
    <w:rsid w:val="00564216"/>
    <w:rsid w:val="00564B9E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2B7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33E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17B8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229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6CB8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73B1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3370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1C2"/>
    <w:rsid w:val="008C472C"/>
    <w:rsid w:val="008C4999"/>
    <w:rsid w:val="008C4C3B"/>
    <w:rsid w:val="008C722C"/>
    <w:rsid w:val="008D1494"/>
    <w:rsid w:val="008D1793"/>
    <w:rsid w:val="008D45EB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0411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202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1474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13B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6014D"/>
    <w:rsid w:val="00B635DC"/>
    <w:rsid w:val="00B64CDE"/>
    <w:rsid w:val="00B64EFC"/>
    <w:rsid w:val="00B65AFD"/>
    <w:rsid w:val="00B70ED4"/>
    <w:rsid w:val="00B7238D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6E69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FFF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57E3F"/>
    <w:rsid w:val="00C61255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96B7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7F06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66B0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081F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65D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464E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,List Paragraph - 2,Grey Bullet List,Grey Bullet Style,Bulleted list,Table of contents numbered,List Paragraph 1,Bullets,Outline Paragraph,Tables,Chapter Numbering,Riana Table Bullets 1,MB SUB A,Dot pt,F5 List Paragraph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,List Paragraph - 2 Char,Grey Bullet List Char,Grey Bullet Style Char,Bulleted list Char,Table of contents numbered Char,List Paragraph 1 Char,Bullets Char,Outline Paragraph Char,Tables Char,Chapter Numbering Char"/>
    <w:basedOn w:val="DefaultParagraphFont"/>
    <w:link w:val="ListParagraph"/>
    <w:uiPriority w:val="34"/>
    <w:qFormat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6F0A-110E-4C0C-ABAC-D1428606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2022-09-08T15:15:00Z</cp:lastPrinted>
  <dcterms:created xsi:type="dcterms:W3CDTF">2022-09-16T05:45:00Z</dcterms:created>
  <dcterms:modified xsi:type="dcterms:W3CDTF">2022-09-16T05:45:00Z</dcterms:modified>
</cp:coreProperties>
</file>