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7A" w:rsidRPr="00ED188E" w:rsidRDefault="00EE4F7A" w:rsidP="00EE4F7A">
      <w:pPr>
        <w:jc w:val="center"/>
        <w:rPr>
          <w:sz w:val="24"/>
          <w:szCs w:val="24"/>
        </w:rPr>
      </w:pPr>
      <w:r w:rsidRPr="00ED188E">
        <w:rPr>
          <w:noProof/>
          <w:sz w:val="24"/>
          <w:szCs w:val="24"/>
          <w:lang w:val="en-ZA" w:eastAsia="en-ZA"/>
        </w:rPr>
        <w:drawing>
          <wp:inline distT="0" distB="0" distL="0" distR="0" wp14:anchorId="708C73DC" wp14:editId="5745C3EB">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EE4F7A" w:rsidRPr="002C0C62" w:rsidRDefault="00EE4F7A" w:rsidP="00EE4F7A">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EE4F7A" w:rsidRPr="002C0C62" w:rsidRDefault="00EE4F7A" w:rsidP="00EE4F7A">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469 5150, Fax: (021) 465 7956</w:t>
      </w:r>
    </w:p>
    <w:p w:rsidR="00EE4F7A" w:rsidRPr="00ED188E" w:rsidRDefault="00EE4F7A" w:rsidP="00EE4F7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EE4F7A" w:rsidRDefault="00EE4F7A" w:rsidP="00EE4F7A">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EE4F7A" w:rsidRPr="00ED188E" w:rsidRDefault="00EE4F7A" w:rsidP="00EE4F7A">
      <w:pPr>
        <w:jc w:val="center"/>
        <w:rPr>
          <w:rFonts w:ascii="Arial" w:hAnsi="Arial" w:cs="Arial"/>
          <w:b/>
          <w:bCs/>
          <w:sz w:val="24"/>
          <w:szCs w:val="24"/>
        </w:rPr>
      </w:pPr>
      <w:r w:rsidRPr="00ED188E">
        <w:rPr>
          <w:rFonts w:ascii="Arial" w:hAnsi="Arial" w:cs="Arial"/>
          <w:b/>
          <w:bCs/>
          <w:sz w:val="24"/>
          <w:szCs w:val="24"/>
        </w:rPr>
        <w:t>FOR WRITTEN REPLY</w:t>
      </w:r>
    </w:p>
    <w:p w:rsidR="00EE4F7A" w:rsidRPr="00ED188E" w:rsidRDefault="00EE4F7A" w:rsidP="00EE4F7A">
      <w:pPr>
        <w:jc w:val="center"/>
        <w:rPr>
          <w:rFonts w:ascii="Arial" w:hAnsi="Arial" w:cs="Arial"/>
          <w:b/>
          <w:bCs/>
          <w:sz w:val="24"/>
          <w:szCs w:val="24"/>
        </w:rPr>
      </w:pPr>
      <w:r w:rsidRPr="00ED188E">
        <w:rPr>
          <w:rFonts w:ascii="Arial" w:hAnsi="Arial" w:cs="Arial"/>
          <w:b/>
          <w:bCs/>
          <w:sz w:val="24"/>
          <w:szCs w:val="24"/>
        </w:rPr>
        <w:t xml:space="preserve">QUESTION </w:t>
      </w:r>
      <w:r>
        <w:rPr>
          <w:rFonts w:ascii="Arial" w:hAnsi="Arial" w:cs="Arial"/>
          <w:b/>
          <w:bCs/>
          <w:sz w:val="24"/>
          <w:szCs w:val="24"/>
        </w:rPr>
        <w:t>275</w:t>
      </w:r>
    </w:p>
    <w:p w:rsidR="00EE4F7A" w:rsidRPr="00ED188E" w:rsidRDefault="00EE4F7A" w:rsidP="00EE4F7A">
      <w:pPr>
        <w:jc w:val="center"/>
        <w:rPr>
          <w:rFonts w:ascii="Arial" w:hAnsi="Arial" w:cs="Arial"/>
          <w:b/>
          <w:bCs/>
          <w:sz w:val="24"/>
          <w:szCs w:val="24"/>
          <w:u w:val="single"/>
        </w:rPr>
      </w:pPr>
      <w:r w:rsidRPr="00ED188E">
        <w:rPr>
          <w:rFonts w:ascii="Arial" w:hAnsi="Arial" w:cs="Arial"/>
          <w:b/>
          <w:bCs/>
          <w:sz w:val="24"/>
          <w:szCs w:val="24"/>
          <w:u w:val="single"/>
        </w:rPr>
        <w:t xml:space="preserve">DATE OF PUBLICATION OF INTERNAL QUESTION PAPER: </w:t>
      </w:r>
      <w:r>
        <w:rPr>
          <w:rFonts w:ascii="Arial" w:hAnsi="Arial" w:cs="Arial"/>
          <w:b/>
          <w:bCs/>
          <w:sz w:val="24"/>
          <w:szCs w:val="24"/>
          <w:u w:val="single"/>
        </w:rPr>
        <w:t>16</w:t>
      </w:r>
      <w:r w:rsidRPr="00ED188E">
        <w:rPr>
          <w:rFonts w:ascii="Arial" w:hAnsi="Arial" w:cs="Arial"/>
          <w:b/>
          <w:bCs/>
          <w:sz w:val="24"/>
          <w:szCs w:val="24"/>
          <w:u w:val="single"/>
        </w:rPr>
        <w:t>/</w:t>
      </w:r>
      <w:r>
        <w:rPr>
          <w:rFonts w:ascii="Arial" w:hAnsi="Arial" w:cs="Arial"/>
          <w:b/>
          <w:bCs/>
          <w:sz w:val="24"/>
          <w:szCs w:val="24"/>
          <w:u w:val="single"/>
        </w:rPr>
        <w:t>02</w:t>
      </w:r>
      <w:r w:rsidRPr="00ED188E">
        <w:rPr>
          <w:rFonts w:ascii="Arial" w:hAnsi="Arial" w:cs="Arial"/>
          <w:b/>
          <w:bCs/>
          <w:sz w:val="24"/>
          <w:szCs w:val="24"/>
          <w:u w:val="single"/>
        </w:rPr>
        <w:t>/201</w:t>
      </w:r>
      <w:r>
        <w:rPr>
          <w:rFonts w:ascii="Arial" w:hAnsi="Arial" w:cs="Arial"/>
          <w:b/>
          <w:bCs/>
          <w:sz w:val="24"/>
          <w:szCs w:val="24"/>
          <w:u w:val="single"/>
        </w:rPr>
        <w:t>8</w:t>
      </w:r>
    </w:p>
    <w:p w:rsidR="00EE4F7A" w:rsidRPr="00ED188E" w:rsidRDefault="00EE4F7A" w:rsidP="00EE4F7A">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Pr>
          <w:rFonts w:ascii="Arial" w:hAnsi="Arial" w:cs="Arial"/>
          <w:b/>
          <w:bCs/>
          <w:sz w:val="24"/>
          <w:szCs w:val="24"/>
          <w:u w:val="single"/>
        </w:rPr>
        <w:t>NO 2</w:t>
      </w:r>
      <w:r w:rsidRPr="00ED188E">
        <w:rPr>
          <w:rFonts w:ascii="Arial" w:hAnsi="Arial" w:cs="Arial"/>
          <w:b/>
          <w:bCs/>
          <w:sz w:val="24"/>
          <w:szCs w:val="24"/>
          <w:u w:val="single"/>
        </w:rPr>
        <w:t xml:space="preserve"> OF 201</w:t>
      </w:r>
      <w:r>
        <w:rPr>
          <w:rFonts w:ascii="Arial" w:hAnsi="Arial" w:cs="Arial"/>
          <w:b/>
          <w:bCs/>
          <w:sz w:val="24"/>
          <w:szCs w:val="24"/>
          <w:u w:val="single"/>
        </w:rPr>
        <w:t>8</w:t>
      </w:r>
      <w:r w:rsidRPr="00ED188E">
        <w:rPr>
          <w:rFonts w:ascii="Arial" w:hAnsi="Arial" w:cs="Arial"/>
          <w:b/>
          <w:bCs/>
          <w:sz w:val="24"/>
          <w:szCs w:val="24"/>
          <w:u w:val="single"/>
        </w:rPr>
        <w:t>)</w:t>
      </w:r>
    </w:p>
    <w:p w:rsidR="00706CA8" w:rsidRPr="00EE4F7A" w:rsidRDefault="008B4C85" w:rsidP="00EE4F7A">
      <w:pPr>
        <w:spacing w:after="240" w:line="360" w:lineRule="auto"/>
        <w:jc w:val="both"/>
        <w:rPr>
          <w:rFonts w:ascii="Arial" w:hAnsi="Arial" w:cs="Arial"/>
          <w:b/>
          <w:noProof/>
          <w:sz w:val="24"/>
          <w:szCs w:val="24"/>
          <w:lang w:val="af-ZA"/>
        </w:rPr>
      </w:pPr>
      <w:r w:rsidRPr="00EE4F7A">
        <w:rPr>
          <w:rFonts w:ascii="Arial" w:hAnsi="Arial" w:cs="Arial"/>
          <w:b/>
          <w:noProof/>
          <w:sz w:val="24"/>
          <w:szCs w:val="24"/>
          <w:lang w:val="af-ZA"/>
        </w:rPr>
        <w:t xml:space="preserve">Ms H Bucwa (DA) </w:t>
      </w:r>
      <w:r w:rsidR="002A76BD" w:rsidRPr="00EE4F7A">
        <w:rPr>
          <w:rFonts w:ascii="Arial" w:hAnsi="Arial" w:cs="Arial"/>
          <w:b/>
          <w:noProof/>
          <w:sz w:val="24"/>
          <w:szCs w:val="24"/>
          <w:lang w:val="af-ZA"/>
        </w:rPr>
        <w:t>to ask the Minister of Higher Education and Training:</w:t>
      </w:r>
    </w:p>
    <w:p w:rsidR="001E395A" w:rsidRPr="00EE4F7A" w:rsidRDefault="001E395A" w:rsidP="00EE4F7A">
      <w:pPr>
        <w:spacing w:after="240" w:line="360" w:lineRule="auto"/>
        <w:ind w:left="567" w:hanging="567"/>
        <w:jc w:val="both"/>
        <w:rPr>
          <w:rFonts w:ascii="Arial" w:hAnsi="Arial" w:cs="Arial"/>
          <w:sz w:val="24"/>
          <w:szCs w:val="24"/>
        </w:rPr>
      </w:pPr>
      <w:r w:rsidRPr="00EE4F7A">
        <w:rPr>
          <w:rFonts w:ascii="Arial" w:hAnsi="Arial" w:cs="Arial"/>
          <w:sz w:val="24"/>
          <w:szCs w:val="24"/>
        </w:rPr>
        <w:t>(1)</w:t>
      </w:r>
      <w:r w:rsidRPr="00EE4F7A">
        <w:rPr>
          <w:rFonts w:ascii="Arial" w:hAnsi="Arial" w:cs="Arial"/>
          <w:sz w:val="24"/>
          <w:szCs w:val="24"/>
        </w:rPr>
        <w:tab/>
        <w:t xml:space="preserve">With reference to her reply to question 3572 on 2 January 2018, what (a) are the reasons for the high number and relatively high percentage of invoices that are unpaid for more than 120 days by AgriSeta, W&amp;R Seta, Services, the National Student Financial Aid Scheme and the SA Qualification Authority, (b) steps have been taken since her reply to address the issues leading to the delays and (c) is the current age analysis of unpaid invoices for each of the specified entities; </w:t>
      </w:r>
    </w:p>
    <w:p w:rsidR="001E395A" w:rsidRPr="00EE4F7A" w:rsidRDefault="001E395A" w:rsidP="00EE4F7A">
      <w:pPr>
        <w:spacing w:after="240" w:line="360" w:lineRule="auto"/>
        <w:ind w:left="567" w:hanging="567"/>
        <w:jc w:val="both"/>
        <w:rPr>
          <w:rFonts w:ascii="Arial" w:hAnsi="Arial" w:cs="Arial"/>
          <w:sz w:val="24"/>
          <w:szCs w:val="24"/>
        </w:rPr>
      </w:pPr>
      <w:r w:rsidRPr="00EE4F7A">
        <w:rPr>
          <w:rFonts w:ascii="Arial" w:hAnsi="Arial" w:cs="Arial"/>
          <w:sz w:val="24"/>
          <w:szCs w:val="24"/>
        </w:rPr>
        <w:t>(2)</w:t>
      </w:r>
      <w:r w:rsidRPr="00EE4F7A">
        <w:rPr>
          <w:rFonts w:ascii="Arial" w:hAnsi="Arial" w:cs="Arial"/>
          <w:sz w:val="24"/>
          <w:szCs w:val="24"/>
        </w:rPr>
        <w:tab/>
        <w:t>Whether she will take any steps to ensure that all future invoices of the entities will be paid within 30 days; if not, why not; if so, what are the relevant details?</w:t>
      </w:r>
    </w:p>
    <w:p w:rsidR="001915DA" w:rsidRPr="00EE4F7A" w:rsidRDefault="000B5192" w:rsidP="00EE4F7A">
      <w:pPr>
        <w:spacing w:after="240" w:line="360" w:lineRule="auto"/>
        <w:ind w:left="851" w:firstLine="7513"/>
        <w:jc w:val="both"/>
        <w:rPr>
          <w:rFonts w:ascii="Arial" w:hAnsi="Arial" w:cs="Arial"/>
          <w:b/>
          <w:sz w:val="24"/>
          <w:szCs w:val="24"/>
        </w:rPr>
      </w:pPr>
      <w:r w:rsidRPr="00EE4F7A">
        <w:rPr>
          <w:rFonts w:ascii="Arial" w:hAnsi="Arial" w:cs="Arial"/>
          <w:b/>
          <w:sz w:val="24"/>
          <w:szCs w:val="24"/>
        </w:rPr>
        <w:t>NW2</w:t>
      </w:r>
      <w:r w:rsidR="00CD2F05" w:rsidRPr="00EE4F7A">
        <w:rPr>
          <w:rFonts w:ascii="Arial" w:hAnsi="Arial" w:cs="Arial"/>
          <w:b/>
          <w:sz w:val="24"/>
          <w:szCs w:val="24"/>
        </w:rPr>
        <w:t>9</w:t>
      </w:r>
      <w:r w:rsidR="001E395A" w:rsidRPr="00EE4F7A">
        <w:rPr>
          <w:rFonts w:ascii="Arial" w:hAnsi="Arial" w:cs="Arial"/>
          <w:b/>
          <w:sz w:val="24"/>
          <w:szCs w:val="24"/>
        </w:rPr>
        <w:t>6</w:t>
      </w:r>
      <w:r w:rsidRPr="00EE4F7A">
        <w:rPr>
          <w:rFonts w:ascii="Arial" w:hAnsi="Arial" w:cs="Arial"/>
          <w:b/>
          <w:sz w:val="24"/>
          <w:szCs w:val="24"/>
        </w:rPr>
        <w:t>E</w:t>
      </w:r>
      <w:r w:rsidR="001915DA" w:rsidRPr="00EE4F7A">
        <w:rPr>
          <w:rFonts w:ascii="Arial" w:hAnsi="Arial" w:cs="Arial"/>
          <w:b/>
          <w:sz w:val="24"/>
          <w:szCs w:val="24"/>
        </w:rPr>
        <w:br w:type="page"/>
      </w:r>
    </w:p>
    <w:p w:rsidR="00F93BDA" w:rsidRPr="00EE4F7A" w:rsidRDefault="00B12389" w:rsidP="00EE4F7A">
      <w:pPr>
        <w:spacing w:after="240" w:line="360" w:lineRule="auto"/>
        <w:jc w:val="both"/>
        <w:rPr>
          <w:rFonts w:ascii="Arial" w:hAnsi="Arial" w:cs="Arial"/>
          <w:b/>
          <w:sz w:val="24"/>
          <w:szCs w:val="24"/>
        </w:rPr>
      </w:pPr>
      <w:r w:rsidRPr="00EE4F7A">
        <w:rPr>
          <w:rFonts w:ascii="Arial" w:hAnsi="Arial" w:cs="Arial"/>
          <w:b/>
          <w:sz w:val="24"/>
          <w:szCs w:val="24"/>
        </w:rPr>
        <w:lastRenderedPageBreak/>
        <w:t>R</w:t>
      </w:r>
      <w:r w:rsidR="00FC1A3C" w:rsidRPr="00EE4F7A">
        <w:rPr>
          <w:rFonts w:ascii="Arial" w:hAnsi="Arial" w:cs="Arial"/>
          <w:b/>
          <w:sz w:val="24"/>
          <w:szCs w:val="24"/>
        </w:rPr>
        <w:t>EPLY:</w:t>
      </w:r>
    </w:p>
    <w:p w:rsidR="00A400AA" w:rsidRDefault="008951B9" w:rsidP="00A400AA">
      <w:pPr>
        <w:spacing w:line="360" w:lineRule="auto"/>
        <w:jc w:val="both"/>
        <w:rPr>
          <w:rFonts w:ascii="Arial" w:hAnsi="Arial" w:cs="Arial"/>
          <w:sz w:val="24"/>
          <w:szCs w:val="24"/>
        </w:rPr>
      </w:pPr>
      <w:r>
        <w:rPr>
          <w:rFonts w:ascii="Arial" w:hAnsi="Arial" w:cs="Arial"/>
          <w:sz w:val="24"/>
          <w:szCs w:val="24"/>
        </w:rPr>
        <w:t>Public e</w:t>
      </w:r>
      <w:r w:rsidR="00A400AA" w:rsidRPr="00EE4F7A">
        <w:rPr>
          <w:rFonts w:ascii="Arial" w:hAnsi="Arial" w:cs="Arial"/>
          <w:sz w:val="24"/>
          <w:szCs w:val="24"/>
        </w:rPr>
        <w:t>ntities</w:t>
      </w:r>
      <w:r w:rsidR="00A400AA" w:rsidRPr="0070529F">
        <w:rPr>
          <w:rFonts w:ascii="Arial" w:hAnsi="Arial" w:cs="Arial"/>
          <w:sz w:val="24"/>
          <w:szCs w:val="24"/>
        </w:rPr>
        <w:t xml:space="preserve"> </w:t>
      </w:r>
      <w:r w:rsidR="00A400AA">
        <w:rPr>
          <w:rFonts w:ascii="Arial" w:hAnsi="Arial" w:cs="Arial"/>
          <w:sz w:val="24"/>
          <w:szCs w:val="24"/>
        </w:rPr>
        <w:t xml:space="preserve">mentioned below </w:t>
      </w:r>
      <w:r w:rsidR="00A400AA" w:rsidRPr="0070529F">
        <w:rPr>
          <w:rFonts w:ascii="Arial" w:hAnsi="Arial" w:cs="Arial"/>
          <w:sz w:val="24"/>
          <w:szCs w:val="24"/>
        </w:rPr>
        <w:t>ha</w:t>
      </w:r>
      <w:r w:rsidR="00A400AA">
        <w:rPr>
          <w:rFonts w:ascii="Arial" w:hAnsi="Arial" w:cs="Arial"/>
          <w:sz w:val="24"/>
          <w:szCs w:val="24"/>
        </w:rPr>
        <w:t>ve</w:t>
      </w:r>
      <w:r w:rsidR="00A400AA" w:rsidRPr="0070529F">
        <w:rPr>
          <w:rFonts w:ascii="Arial" w:hAnsi="Arial" w:cs="Arial"/>
          <w:sz w:val="24"/>
          <w:szCs w:val="24"/>
        </w:rPr>
        <w:t xml:space="preserve"> provided the following responses to the questions posed.</w:t>
      </w:r>
    </w:p>
    <w:p w:rsidR="00427BEF" w:rsidRPr="00427BEF" w:rsidRDefault="00427BEF" w:rsidP="00427BEF">
      <w:pPr>
        <w:pStyle w:val="ListParagraph"/>
        <w:numPr>
          <w:ilvl w:val="0"/>
          <w:numId w:val="36"/>
        </w:numPr>
        <w:tabs>
          <w:tab w:val="left" w:pos="426"/>
        </w:tabs>
        <w:spacing w:line="360" w:lineRule="auto"/>
        <w:ind w:left="851" w:hanging="851"/>
        <w:jc w:val="both"/>
        <w:rPr>
          <w:rFonts w:ascii="Arial" w:hAnsi="Arial" w:cs="Arial"/>
          <w:sz w:val="24"/>
          <w:szCs w:val="24"/>
        </w:rPr>
      </w:pPr>
      <w:r w:rsidRPr="00427BEF">
        <w:rPr>
          <w:rFonts w:ascii="Arial" w:hAnsi="Arial" w:cs="Arial"/>
          <w:sz w:val="24"/>
          <w:szCs w:val="24"/>
        </w:rPr>
        <w:t>(a)</w:t>
      </w:r>
      <w:r w:rsidRPr="00427BEF">
        <w:rPr>
          <w:rFonts w:ascii="Arial" w:hAnsi="Arial" w:cs="Arial"/>
          <w:sz w:val="24"/>
          <w:szCs w:val="24"/>
        </w:rPr>
        <w:tab/>
      </w:r>
      <w:r w:rsidR="00A400AA" w:rsidRPr="001F2DE3">
        <w:rPr>
          <w:rFonts w:ascii="Arial" w:hAnsi="Arial" w:cs="Arial"/>
          <w:b/>
          <w:sz w:val="24"/>
          <w:szCs w:val="24"/>
        </w:rPr>
        <w:t>Wholesale and Retail Sector Education Training Authority (W&amp;RSETA)</w:t>
      </w:r>
      <w:r>
        <w:rPr>
          <w:rFonts w:ascii="Arial" w:hAnsi="Arial" w:cs="Arial"/>
          <w:sz w:val="24"/>
          <w:szCs w:val="24"/>
        </w:rPr>
        <w:t xml:space="preserve"> </w:t>
      </w:r>
      <w:r w:rsidR="00732CA9">
        <w:rPr>
          <w:rFonts w:ascii="Arial" w:hAnsi="Arial" w:cs="Arial"/>
          <w:sz w:val="24"/>
          <w:szCs w:val="24"/>
        </w:rPr>
        <w:t>Service p</w:t>
      </w:r>
      <w:r w:rsidR="004C4C1E" w:rsidRPr="00427BEF">
        <w:rPr>
          <w:rFonts w:ascii="Arial" w:hAnsi="Arial" w:cs="Arial"/>
          <w:sz w:val="24"/>
          <w:szCs w:val="24"/>
        </w:rPr>
        <w:t>roviders and stakeholder</w:t>
      </w:r>
      <w:r w:rsidR="008951B9">
        <w:rPr>
          <w:rFonts w:ascii="Arial" w:hAnsi="Arial" w:cs="Arial"/>
          <w:sz w:val="24"/>
          <w:szCs w:val="24"/>
        </w:rPr>
        <w:t>s</w:t>
      </w:r>
      <w:r w:rsidR="004C4C1E" w:rsidRPr="00427BEF">
        <w:rPr>
          <w:rFonts w:ascii="Arial" w:hAnsi="Arial" w:cs="Arial"/>
          <w:sz w:val="24"/>
          <w:szCs w:val="24"/>
        </w:rPr>
        <w:t xml:space="preserve"> submit non-compliant invoices in terms of </w:t>
      </w:r>
      <w:r w:rsidR="00D31D31" w:rsidRPr="00427BEF">
        <w:rPr>
          <w:rFonts w:ascii="Arial" w:hAnsi="Arial" w:cs="Arial"/>
          <w:sz w:val="24"/>
          <w:szCs w:val="24"/>
        </w:rPr>
        <w:t xml:space="preserve">the </w:t>
      </w:r>
      <w:r w:rsidR="004C4C1E" w:rsidRPr="00427BEF">
        <w:rPr>
          <w:rFonts w:ascii="Arial" w:hAnsi="Arial" w:cs="Arial"/>
          <w:sz w:val="24"/>
          <w:szCs w:val="24"/>
        </w:rPr>
        <w:t>contract</w:t>
      </w:r>
      <w:r w:rsidR="005564D9" w:rsidRPr="00427BEF">
        <w:rPr>
          <w:rFonts w:ascii="Arial" w:hAnsi="Arial" w:cs="Arial"/>
          <w:sz w:val="24"/>
          <w:szCs w:val="24"/>
        </w:rPr>
        <w:t xml:space="preserve"> de</w:t>
      </w:r>
      <w:r w:rsidR="004C4C1E" w:rsidRPr="00427BEF">
        <w:rPr>
          <w:rFonts w:ascii="Arial" w:hAnsi="Arial" w:cs="Arial"/>
          <w:sz w:val="24"/>
          <w:szCs w:val="24"/>
        </w:rPr>
        <w:t>liverables.</w:t>
      </w:r>
      <w:r w:rsidR="00221DDC" w:rsidRPr="00427BEF">
        <w:rPr>
          <w:rFonts w:ascii="Arial" w:hAnsi="Arial" w:cs="Arial"/>
          <w:sz w:val="24"/>
          <w:szCs w:val="24"/>
        </w:rPr>
        <w:t xml:space="preserve"> </w:t>
      </w:r>
      <w:r w:rsidR="004C4C1E" w:rsidRPr="00427BEF">
        <w:rPr>
          <w:rFonts w:ascii="Arial" w:hAnsi="Arial" w:cs="Arial"/>
          <w:sz w:val="24"/>
          <w:szCs w:val="24"/>
        </w:rPr>
        <w:t>W</w:t>
      </w:r>
      <w:r w:rsidR="00221DDC" w:rsidRPr="00427BEF">
        <w:rPr>
          <w:rFonts w:ascii="Arial" w:hAnsi="Arial" w:cs="Arial"/>
          <w:sz w:val="24"/>
          <w:szCs w:val="24"/>
        </w:rPr>
        <w:t>&amp;</w:t>
      </w:r>
      <w:r w:rsidR="004C4C1E" w:rsidRPr="00427BEF">
        <w:rPr>
          <w:rFonts w:ascii="Arial" w:hAnsi="Arial" w:cs="Arial"/>
          <w:sz w:val="24"/>
          <w:szCs w:val="24"/>
        </w:rPr>
        <w:t>RSETA currently has a backlog on certificates</w:t>
      </w:r>
      <w:r w:rsidR="00732CA9">
        <w:rPr>
          <w:rFonts w:ascii="Arial" w:hAnsi="Arial" w:cs="Arial"/>
          <w:sz w:val="24"/>
          <w:szCs w:val="24"/>
        </w:rPr>
        <w:t>,</w:t>
      </w:r>
      <w:r w:rsidR="004C4C1E" w:rsidRPr="00427BEF">
        <w:rPr>
          <w:rFonts w:ascii="Arial" w:hAnsi="Arial" w:cs="Arial"/>
          <w:sz w:val="24"/>
          <w:szCs w:val="24"/>
        </w:rPr>
        <w:t xml:space="preserve"> which is one of the deliverables to prove completion of training.</w:t>
      </w:r>
      <w:r w:rsidR="001E6C23" w:rsidRPr="00427BEF">
        <w:rPr>
          <w:rFonts w:ascii="Arial" w:hAnsi="Arial" w:cs="Arial"/>
          <w:sz w:val="24"/>
          <w:szCs w:val="24"/>
        </w:rPr>
        <w:t xml:space="preserve"> This is impacting </w:t>
      </w:r>
      <w:r w:rsidR="00EC470C">
        <w:rPr>
          <w:rFonts w:ascii="Arial" w:hAnsi="Arial" w:cs="Arial"/>
          <w:sz w:val="24"/>
          <w:szCs w:val="24"/>
        </w:rPr>
        <w:t xml:space="preserve">negatively </w:t>
      </w:r>
      <w:r w:rsidR="001E6C23" w:rsidRPr="00427BEF">
        <w:rPr>
          <w:rFonts w:ascii="Arial" w:hAnsi="Arial" w:cs="Arial"/>
          <w:sz w:val="24"/>
          <w:szCs w:val="24"/>
        </w:rPr>
        <w:t>o</w:t>
      </w:r>
      <w:r w:rsidR="007E3E8D" w:rsidRPr="00427BEF">
        <w:rPr>
          <w:rFonts w:ascii="Arial" w:hAnsi="Arial" w:cs="Arial"/>
          <w:sz w:val="24"/>
          <w:szCs w:val="24"/>
        </w:rPr>
        <w:t xml:space="preserve">n </w:t>
      </w:r>
      <w:r w:rsidR="00EC470C">
        <w:rPr>
          <w:rFonts w:ascii="Arial" w:hAnsi="Arial" w:cs="Arial"/>
          <w:sz w:val="24"/>
          <w:szCs w:val="24"/>
        </w:rPr>
        <w:t xml:space="preserve">the </w:t>
      </w:r>
      <w:r w:rsidR="007E3E8D" w:rsidRPr="00427BEF">
        <w:rPr>
          <w:rFonts w:ascii="Arial" w:hAnsi="Arial" w:cs="Arial"/>
          <w:sz w:val="24"/>
          <w:szCs w:val="24"/>
        </w:rPr>
        <w:t xml:space="preserve">processing </w:t>
      </w:r>
      <w:r w:rsidR="00EC470C">
        <w:rPr>
          <w:rFonts w:ascii="Arial" w:hAnsi="Arial" w:cs="Arial"/>
          <w:sz w:val="24"/>
          <w:szCs w:val="24"/>
        </w:rPr>
        <w:t xml:space="preserve">of </w:t>
      </w:r>
      <w:r w:rsidR="007E3E8D" w:rsidRPr="00427BEF">
        <w:rPr>
          <w:rFonts w:ascii="Arial" w:hAnsi="Arial" w:cs="Arial"/>
          <w:sz w:val="24"/>
          <w:szCs w:val="24"/>
        </w:rPr>
        <w:t>tranche payments (final payments</w:t>
      </w:r>
      <w:r w:rsidR="001E6C23" w:rsidRPr="00427BEF">
        <w:rPr>
          <w:rFonts w:ascii="Arial" w:hAnsi="Arial" w:cs="Arial"/>
          <w:sz w:val="24"/>
          <w:szCs w:val="24"/>
        </w:rPr>
        <w:t>) on projects</w:t>
      </w:r>
      <w:r w:rsidR="00EC470C">
        <w:rPr>
          <w:rFonts w:ascii="Arial" w:hAnsi="Arial" w:cs="Arial"/>
          <w:sz w:val="24"/>
          <w:szCs w:val="24"/>
        </w:rPr>
        <w:t xml:space="preserve"> as t</w:t>
      </w:r>
      <w:r w:rsidR="00EC470C" w:rsidRPr="00427BEF">
        <w:rPr>
          <w:rFonts w:ascii="Arial" w:hAnsi="Arial" w:cs="Arial"/>
          <w:sz w:val="24"/>
          <w:szCs w:val="24"/>
        </w:rPr>
        <w:t xml:space="preserve">he Chief Executive Officer (CEO) </w:t>
      </w:r>
      <w:r w:rsidR="00EC470C">
        <w:rPr>
          <w:rFonts w:ascii="Arial" w:hAnsi="Arial" w:cs="Arial"/>
          <w:sz w:val="24"/>
          <w:szCs w:val="24"/>
        </w:rPr>
        <w:t xml:space="preserve">is the only individual who can </w:t>
      </w:r>
      <w:r w:rsidR="00EC470C" w:rsidRPr="00427BEF">
        <w:rPr>
          <w:rFonts w:ascii="Arial" w:hAnsi="Arial" w:cs="Arial"/>
          <w:sz w:val="24"/>
          <w:szCs w:val="24"/>
        </w:rPr>
        <w:t xml:space="preserve">sign </w:t>
      </w:r>
      <w:r w:rsidR="00EC470C">
        <w:rPr>
          <w:rFonts w:ascii="Arial" w:hAnsi="Arial" w:cs="Arial"/>
          <w:sz w:val="24"/>
          <w:szCs w:val="24"/>
        </w:rPr>
        <w:t xml:space="preserve">these </w:t>
      </w:r>
      <w:r w:rsidR="00EC470C" w:rsidRPr="00427BEF">
        <w:rPr>
          <w:rFonts w:ascii="Arial" w:hAnsi="Arial" w:cs="Arial"/>
          <w:sz w:val="24"/>
          <w:szCs w:val="24"/>
        </w:rPr>
        <w:t>certificates</w:t>
      </w:r>
      <w:r w:rsidR="00EC470C">
        <w:rPr>
          <w:rFonts w:ascii="Arial" w:hAnsi="Arial" w:cs="Arial"/>
          <w:sz w:val="24"/>
          <w:szCs w:val="24"/>
        </w:rPr>
        <w:t>. An a</w:t>
      </w:r>
      <w:r w:rsidR="004C4C1E" w:rsidRPr="00427BEF">
        <w:rPr>
          <w:rFonts w:ascii="Arial" w:hAnsi="Arial" w:cs="Arial"/>
          <w:sz w:val="24"/>
          <w:szCs w:val="24"/>
        </w:rPr>
        <w:t xml:space="preserve">cting CEO was appointed in January 2018 and the </w:t>
      </w:r>
      <w:r w:rsidR="00EC470C">
        <w:rPr>
          <w:rFonts w:ascii="Arial" w:hAnsi="Arial" w:cs="Arial"/>
          <w:sz w:val="24"/>
          <w:szCs w:val="24"/>
        </w:rPr>
        <w:t xml:space="preserve">certificate </w:t>
      </w:r>
      <w:r w:rsidR="004C4C1E" w:rsidRPr="00427BEF">
        <w:rPr>
          <w:rFonts w:ascii="Arial" w:hAnsi="Arial" w:cs="Arial"/>
          <w:sz w:val="24"/>
          <w:szCs w:val="24"/>
        </w:rPr>
        <w:t>backlog is bein</w:t>
      </w:r>
      <w:r w:rsidR="00EC470C">
        <w:rPr>
          <w:rFonts w:ascii="Arial" w:hAnsi="Arial" w:cs="Arial"/>
          <w:sz w:val="24"/>
          <w:szCs w:val="24"/>
        </w:rPr>
        <w:t>g addressed</w:t>
      </w:r>
      <w:r w:rsidR="004C4C1E" w:rsidRPr="00427BEF">
        <w:rPr>
          <w:rFonts w:ascii="Arial" w:hAnsi="Arial" w:cs="Arial"/>
          <w:sz w:val="24"/>
          <w:szCs w:val="24"/>
        </w:rPr>
        <w:t>.</w:t>
      </w:r>
      <w:r w:rsidR="00221DDC" w:rsidRPr="00427BEF">
        <w:rPr>
          <w:rFonts w:ascii="Arial" w:hAnsi="Arial" w:cs="Arial"/>
          <w:sz w:val="24"/>
          <w:szCs w:val="24"/>
        </w:rPr>
        <w:t xml:space="preserve"> </w:t>
      </w:r>
      <w:r w:rsidR="008951B9">
        <w:rPr>
          <w:rFonts w:ascii="Arial" w:hAnsi="Arial" w:cs="Arial"/>
          <w:sz w:val="24"/>
          <w:szCs w:val="24"/>
        </w:rPr>
        <w:t>In terms of the</w:t>
      </w:r>
      <w:r w:rsidR="004C4C1E" w:rsidRPr="00427BEF">
        <w:rPr>
          <w:rFonts w:ascii="Arial" w:hAnsi="Arial" w:cs="Arial"/>
          <w:sz w:val="24"/>
          <w:szCs w:val="24"/>
        </w:rPr>
        <w:t xml:space="preserve"> payment process, there must</w:t>
      </w:r>
      <w:r w:rsidR="00EC470C">
        <w:rPr>
          <w:rFonts w:ascii="Arial" w:hAnsi="Arial" w:cs="Arial"/>
          <w:sz w:val="24"/>
          <w:szCs w:val="24"/>
        </w:rPr>
        <w:t xml:space="preserve"> also</w:t>
      </w:r>
      <w:r w:rsidR="004C4C1E" w:rsidRPr="00427BEF">
        <w:rPr>
          <w:rFonts w:ascii="Arial" w:hAnsi="Arial" w:cs="Arial"/>
          <w:sz w:val="24"/>
          <w:szCs w:val="24"/>
        </w:rPr>
        <w:t xml:space="preserve"> be </w:t>
      </w:r>
      <w:r w:rsidR="001D356D">
        <w:rPr>
          <w:rFonts w:ascii="Arial" w:hAnsi="Arial" w:cs="Arial"/>
          <w:sz w:val="24"/>
          <w:szCs w:val="24"/>
        </w:rPr>
        <w:t xml:space="preserve">a </w:t>
      </w:r>
      <w:r w:rsidR="004C4C1E" w:rsidRPr="00427BEF">
        <w:rPr>
          <w:rFonts w:ascii="Arial" w:hAnsi="Arial" w:cs="Arial"/>
          <w:sz w:val="24"/>
          <w:szCs w:val="24"/>
        </w:rPr>
        <w:t xml:space="preserve">monitoring and evaluation </w:t>
      </w:r>
      <w:r w:rsidR="001D356D">
        <w:rPr>
          <w:rFonts w:ascii="Arial" w:hAnsi="Arial" w:cs="Arial"/>
          <w:sz w:val="24"/>
          <w:szCs w:val="24"/>
        </w:rPr>
        <w:t xml:space="preserve">phase </w:t>
      </w:r>
      <w:r w:rsidR="004C4C1E" w:rsidRPr="00427BEF">
        <w:rPr>
          <w:rFonts w:ascii="Arial" w:hAnsi="Arial" w:cs="Arial"/>
          <w:sz w:val="24"/>
          <w:szCs w:val="24"/>
        </w:rPr>
        <w:t xml:space="preserve">before the service provider can submit an invoice. A number of service providers simply submit invoices before </w:t>
      </w:r>
      <w:r w:rsidR="001D356D">
        <w:rPr>
          <w:rFonts w:ascii="Arial" w:hAnsi="Arial" w:cs="Arial"/>
          <w:sz w:val="24"/>
          <w:szCs w:val="24"/>
        </w:rPr>
        <w:t xml:space="preserve">the </w:t>
      </w:r>
      <w:r w:rsidR="004C4C1E" w:rsidRPr="00427BEF">
        <w:rPr>
          <w:rFonts w:ascii="Arial" w:hAnsi="Arial" w:cs="Arial"/>
          <w:sz w:val="24"/>
          <w:szCs w:val="24"/>
        </w:rPr>
        <w:t xml:space="preserve">monitoring and evaluation </w:t>
      </w:r>
      <w:r w:rsidR="001D356D">
        <w:rPr>
          <w:rFonts w:ascii="Arial" w:hAnsi="Arial" w:cs="Arial"/>
          <w:sz w:val="24"/>
          <w:szCs w:val="24"/>
        </w:rPr>
        <w:t xml:space="preserve">phase </w:t>
      </w:r>
      <w:r w:rsidR="004C4C1E" w:rsidRPr="00427BEF">
        <w:rPr>
          <w:rFonts w:ascii="Arial" w:hAnsi="Arial" w:cs="Arial"/>
          <w:sz w:val="24"/>
          <w:szCs w:val="24"/>
        </w:rPr>
        <w:t xml:space="preserve">is </w:t>
      </w:r>
      <w:r w:rsidR="00732CA9">
        <w:rPr>
          <w:rFonts w:ascii="Arial" w:hAnsi="Arial" w:cs="Arial"/>
          <w:sz w:val="24"/>
          <w:szCs w:val="24"/>
        </w:rPr>
        <w:t>completed</w:t>
      </w:r>
      <w:r w:rsidR="004C4C1E" w:rsidRPr="00427BEF">
        <w:rPr>
          <w:rFonts w:ascii="Arial" w:hAnsi="Arial" w:cs="Arial"/>
          <w:sz w:val="24"/>
          <w:szCs w:val="24"/>
        </w:rPr>
        <w:t>,</w:t>
      </w:r>
      <w:r w:rsidR="005564D9" w:rsidRPr="00427BEF">
        <w:rPr>
          <w:rFonts w:ascii="Arial" w:hAnsi="Arial" w:cs="Arial"/>
          <w:sz w:val="24"/>
          <w:szCs w:val="24"/>
        </w:rPr>
        <w:t xml:space="preserve"> </w:t>
      </w:r>
      <w:r w:rsidR="004C4C1E" w:rsidRPr="00427BEF">
        <w:rPr>
          <w:rFonts w:ascii="Arial" w:hAnsi="Arial" w:cs="Arial"/>
          <w:sz w:val="24"/>
          <w:szCs w:val="24"/>
        </w:rPr>
        <w:t xml:space="preserve">thereby rendering the invoices non-compliant. </w:t>
      </w:r>
    </w:p>
    <w:p w:rsidR="00070F6C" w:rsidRDefault="00427BEF" w:rsidP="00070F6C">
      <w:pPr>
        <w:spacing w:after="240" w:line="360" w:lineRule="auto"/>
        <w:ind w:left="851" w:right="4" w:hanging="425"/>
        <w:jc w:val="both"/>
        <w:rPr>
          <w:rFonts w:ascii="Arial" w:hAnsi="Arial" w:cs="Arial"/>
          <w:sz w:val="24"/>
          <w:szCs w:val="24"/>
        </w:rPr>
      </w:pPr>
      <w:r>
        <w:rPr>
          <w:rFonts w:ascii="Arial" w:hAnsi="Arial" w:cs="Arial"/>
          <w:sz w:val="24"/>
          <w:szCs w:val="24"/>
        </w:rPr>
        <w:t>(b)</w:t>
      </w:r>
      <w:r>
        <w:rPr>
          <w:rFonts w:ascii="Arial" w:hAnsi="Arial" w:cs="Arial"/>
          <w:sz w:val="24"/>
          <w:szCs w:val="24"/>
        </w:rPr>
        <w:tab/>
      </w:r>
      <w:r w:rsidR="00DC4578" w:rsidRPr="00EE4F7A">
        <w:rPr>
          <w:rFonts w:ascii="Arial" w:hAnsi="Arial" w:cs="Arial"/>
          <w:sz w:val="24"/>
          <w:szCs w:val="24"/>
        </w:rPr>
        <w:t>An a</w:t>
      </w:r>
      <w:r w:rsidR="001E6C23" w:rsidRPr="00EE4F7A">
        <w:rPr>
          <w:rFonts w:ascii="Arial" w:hAnsi="Arial" w:cs="Arial"/>
          <w:sz w:val="24"/>
          <w:szCs w:val="24"/>
        </w:rPr>
        <w:t>cting CEO was appointed</w:t>
      </w:r>
      <w:r w:rsidR="00D45989" w:rsidRPr="00EE4F7A">
        <w:rPr>
          <w:rFonts w:ascii="Arial" w:hAnsi="Arial" w:cs="Arial"/>
          <w:sz w:val="24"/>
          <w:szCs w:val="24"/>
        </w:rPr>
        <w:t xml:space="preserve"> in January</w:t>
      </w:r>
      <w:r w:rsidR="007E3E8D" w:rsidRPr="00EE4F7A">
        <w:rPr>
          <w:rFonts w:ascii="Arial" w:hAnsi="Arial" w:cs="Arial"/>
          <w:sz w:val="24"/>
          <w:szCs w:val="24"/>
        </w:rPr>
        <w:t xml:space="preserve"> </w:t>
      </w:r>
      <w:r w:rsidR="00EC470C" w:rsidRPr="00EE4F7A">
        <w:rPr>
          <w:rFonts w:ascii="Arial" w:hAnsi="Arial" w:cs="Arial"/>
          <w:sz w:val="24"/>
          <w:szCs w:val="24"/>
        </w:rPr>
        <w:t>2018;</w:t>
      </w:r>
      <w:r w:rsidR="007E3E8D" w:rsidRPr="00EE4F7A">
        <w:rPr>
          <w:rFonts w:ascii="Arial" w:hAnsi="Arial" w:cs="Arial"/>
          <w:sz w:val="24"/>
          <w:szCs w:val="24"/>
        </w:rPr>
        <w:t xml:space="preserve"> this will assist in ensuring that the </w:t>
      </w:r>
      <w:r w:rsidR="001E6C23" w:rsidRPr="00EE4F7A">
        <w:rPr>
          <w:rFonts w:ascii="Arial" w:hAnsi="Arial" w:cs="Arial"/>
          <w:sz w:val="24"/>
          <w:szCs w:val="24"/>
        </w:rPr>
        <w:t>backlog on certification is addressed.</w:t>
      </w:r>
      <w:r w:rsidR="00D85542" w:rsidRPr="00EE4F7A">
        <w:rPr>
          <w:rFonts w:ascii="Arial" w:hAnsi="Arial" w:cs="Arial"/>
          <w:sz w:val="24"/>
          <w:szCs w:val="24"/>
        </w:rPr>
        <w:t xml:space="preserve"> </w:t>
      </w:r>
      <w:r w:rsidR="00D45989" w:rsidRPr="00EE4F7A">
        <w:rPr>
          <w:rFonts w:ascii="Arial" w:hAnsi="Arial" w:cs="Arial"/>
          <w:sz w:val="24"/>
          <w:szCs w:val="24"/>
        </w:rPr>
        <w:t>Stakeholder sessions were conducted to further explain</w:t>
      </w:r>
      <w:r w:rsidR="001E6C23" w:rsidRPr="00EE4F7A">
        <w:rPr>
          <w:rFonts w:ascii="Arial" w:hAnsi="Arial" w:cs="Arial"/>
          <w:sz w:val="24"/>
          <w:szCs w:val="24"/>
        </w:rPr>
        <w:t xml:space="preserve"> and </w:t>
      </w:r>
      <w:r w:rsidR="00221DDC" w:rsidRPr="00EE4F7A">
        <w:rPr>
          <w:rFonts w:ascii="Arial" w:hAnsi="Arial" w:cs="Arial"/>
          <w:sz w:val="24"/>
          <w:szCs w:val="24"/>
        </w:rPr>
        <w:t>capacitate stakeholders</w:t>
      </w:r>
      <w:r w:rsidR="00D45989" w:rsidRPr="00EE4F7A">
        <w:rPr>
          <w:rFonts w:ascii="Arial" w:hAnsi="Arial" w:cs="Arial"/>
          <w:sz w:val="24"/>
          <w:szCs w:val="24"/>
        </w:rPr>
        <w:t xml:space="preserve"> </w:t>
      </w:r>
      <w:r w:rsidR="001E6C23" w:rsidRPr="00EE4F7A">
        <w:rPr>
          <w:rFonts w:ascii="Arial" w:hAnsi="Arial" w:cs="Arial"/>
          <w:sz w:val="24"/>
          <w:szCs w:val="24"/>
        </w:rPr>
        <w:t xml:space="preserve">on </w:t>
      </w:r>
      <w:r w:rsidR="00D45989" w:rsidRPr="00EE4F7A">
        <w:rPr>
          <w:rFonts w:ascii="Arial" w:hAnsi="Arial" w:cs="Arial"/>
          <w:sz w:val="24"/>
          <w:szCs w:val="24"/>
        </w:rPr>
        <w:t>the</w:t>
      </w:r>
      <w:r w:rsidR="001E6C23" w:rsidRPr="00EE4F7A">
        <w:rPr>
          <w:rFonts w:ascii="Arial" w:hAnsi="Arial" w:cs="Arial"/>
          <w:sz w:val="24"/>
          <w:szCs w:val="24"/>
        </w:rPr>
        <w:t xml:space="preserve"> contracting,</w:t>
      </w:r>
      <w:r w:rsidR="00D45989" w:rsidRPr="00EE4F7A">
        <w:rPr>
          <w:rFonts w:ascii="Arial" w:hAnsi="Arial" w:cs="Arial"/>
          <w:sz w:val="24"/>
          <w:szCs w:val="24"/>
        </w:rPr>
        <w:t xml:space="preserve"> invoicing and payment process</w:t>
      </w:r>
      <w:r w:rsidR="001D356D">
        <w:rPr>
          <w:rFonts w:ascii="Arial" w:hAnsi="Arial" w:cs="Arial"/>
          <w:sz w:val="24"/>
          <w:szCs w:val="24"/>
        </w:rPr>
        <w:t xml:space="preserve">es of </w:t>
      </w:r>
      <w:r w:rsidR="00D45989" w:rsidRPr="00EE4F7A">
        <w:rPr>
          <w:rFonts w:ascii="Arial" w:hAnsi="Arial" w:cs="Arial"/>
          <w:sz w:val="24"/>
          <w:szCs w:val="24"/>
        </w:rPr>
        <w:t>W</w:t>
      </w:r>
      <w:r w:rsidR="00221DDC" w:rsidRPr="00EE4F7A">
        <w:rPr>
          <w:rFonts w:ascii="Arial" w:hAnsi="Arial" w:cs="Arial"/>
          <w:sz w:val="24"/>
          <w:szCs w:val="24"/>
        </w:rPr>
        <w:t>&amp;</w:t>
      </w:r>
      <w:r w:rsidR="00D45989" w:rsidRPr="00EE4F7A">
        <w:rPr>
          <w:rFonts w:ascii="Arial" w:hAnsi="Arial" w:cs="Arial"/>
          <w:sz w:val="24"/>
          <w:szCs w:val="24"/>
        </w:rPr>
        <w:t>RSETA</w:t>
      </w:r>
      <w:r w:rsidR="00D85542" w:rsidRPr="00EE4F7A">
        <w:rPr>
          <w:rFonts w:ascii="Arial" w:hAnsi="Arial" w:cs="Arial"/>
          <w:sz w:val="24"/>
          <w:szCs w:val="24"/>
        </w:rPr>
        <w:t xml:space="preserve">. </w:t>
      </w:r>
      <w:r w:rsidR="001D356D">
        <w:rPr>
          <w:rFonts w:ascii="Arial" w:hAnsi="Arial" w:cs="Arial"/>
          <w:sz w:val="24"/>
          <w:szCs w:val="24"/>
        </w:rPr>
        <w:t>There are</w:t>
      </w:r>
      <w:r w:rsidR="001E6C23" w:rsidRPr="00EE4F7A">
        <w:rPr>
          <w:rFonts w:ascii="Arial" w:hAnsi="Arial" w:cs="Arial"/>
          <w:sz w:val="24"/>
          <w:szCs w:val="24"/>
        </w:rPr>
        <w:t xml:space="preserve"> qua</w:t>
      </w:r>
      <w:r w:rsidR="001D356D">
        <w:rPr>
          <w:rFonts w:ascii="Arial" w:hAnsi="Arial" w:cs="Arial"/>
          <w:sz w:val="24"/>
          <w:szCs w:val="24"/>
        </w:rPr>
        <w:t>rterly progress reports to the B</w:t>
      </w:r>
      <w:r w:rsidR="001E6C23" w:rsidRPr="00EE4F7A">
        <w:rPr>
          <w:rFonts w:ascii="Arial" w:hAnsi="Arial" w:cs="Arial"/>
          <w:sz w:val="24"/>
          <w:szCs w:val="24"/>
        </w:rPr>
        <w:t>oar</w:t>
      </w:r>
      <w:r w:rsidR="001D356D">
        <w:rPr>
          <w:rFonts w:ascii="Arial" w:hAnsi="Arial" w:cs="Arial"/>
          <w:sz w:val="24"/>
          <w:szCs w:val="24"/>
        </w:rPr>
        <w:t>d and stakeholders through the B</w:t>
      </w:r>
      <w:r w:rsidR="001E6C23" w:rsidRPr="00EE4F7A">
        <w:rPr>
          <w:rFonts w:ascii="Arial" w:hAnsi="Arial" w:cs="Arial"/>
          <w:sz w:val="24"/>
          <w:szCs w:val="24"/>
        </w:rPr>
        <w:t>oard meetings and stakeholder forums</w:t>
      </w:r>
      <w:r w:rsidR="00DC4578" w:rsidRPr="00EE4F7A">
        <w:rPr>
          <w:rFonts w:ascii="Arial" w:hAnsi="Arial" w:cs="Arial"/>
          <w:sz w:val="24"/>
          <w:szCs w:val="24"/>
        </w:rPr>
        <w:t>.</w:t>
      </w:r>
    </w:p>
    <w:p w:rsidR="00D45989" w:rsidRPr="00EE4F7A" w:rsidRDefault="00070F6C" w:rsidP="00070F6C">
      <w:pPr>
        <w:spacing w:after="240" w:line="360" w:lineRule="auto"/>
        <w:ind w:left="851" w:right="4" w:hanging="425"/>
        <w:jc w:val="both"/>
        <w:rPr>
          <w:rFonts w:ascii="Arial" w:hAnsi="Arial" w:cs="Arial"/>
          <w:sz w:val="24"/>
          <w:szCs w:val="24"/>
        </w:rPr>
      </w:pPr>
      <w:r>
        <w:rPr>
          <w:rFonts w:ascii="Arial" w:hAnsi="Arial" w:cs="Arial"/>
          <w:sz w:val="24"/>
          <w:szCs w:val="24"/>
        </w:rPr>
        <w:t>(c)</w:t>
      </w:r>
      <w:r>
        <w:rPr>
          <w:rFonts w:ascii="Arial" w:hAnsi="Arial" w:cs="Arial"/>
          <w:sz w:val="24"/>
          <w:szCs w:val="24"/>
        </w:rPr>
        <w:tab/>
      </w:r>
      <w:r w:rsidR="00B86423">
        <w:rPr>
          <w:rFonts w:ascii="Arial" w:hAnsi="Arial" w:cs="Arial"/>
          <w:sz w:val="24"/>
          <w:szCs w:val="24"/>
        </w:rPr>
        <w:t xml:space="preserve">The </w:t>
      </w:r>
      <w:r w:rsidR="00B86423" w:rsidRPr="00EE4F7A">
        <w:rPr>
          <w:rFonts w:ascii="Arial" w:hAnsi="Arial" w:cs="Arial"/>
          <w:sz w:val="24"/>
          <w:szCs w:val="24"/>
        </w:rPr>
        <w:t xml:space="preserve">current </w:t>
      </w:r>
      <w:r w:rsidR="00B86423">
        <w:rPr>
          <w:rFonts w:ascii="Arial" w:hAnsi="Arial" w:cs="Arial"/>
          <w:sz w:val="24"/>
          <w:szCs w:val="24"/>
        </w:rPr>
        <w:t>age ana</w:t>
      </w:r>
      <w:r w:rsidR="00EC470C">
        <w:rPr>
          <w:rFonts w:ascii="Arial" w:hAnsi="Arial" w:cs="Arial"/>
          <w:sz w:val="24"/>
          <w:szCs w:val="24"/>
        </w:rPr>
        <w:t>lysis for unpaid invoices is</w:t>
      </w:r>
      <w:r w:rsidR="00B86423">
        <w:rPr>
          <w:rFonts w:ascii="Arial" w:hAnsi="Arial" w:cs="Arial"/>
          <w:sz w:val="24"/>
          <w:szCs w:val="24"/>
        </w:rPr>
        <w:t xml:space="preserve"> provided below:</w:t>
      </w:r>
      <w:r w:rsidR="00D45989" w:rsidRPr="00EE4F7A">
        <w:rPr>
          <w:rFonts w:ascii="Arial" w:hAnsi="Arial" w:cs="Arial"/>
          <w:sz w:val="24"/>
          <w:szCs w:val="24"/>
        </w:rPr>
        <w:t xml:space="preserve"> </w:t>
      </w:r>
    </w:p>
    <w:tbl>
      <w:tblPr>
        <w:tblStyle w:val="TableGrid"/>
        <w:tblW w:w="8930" w:type="dxa"/>
        <w:tblInd w:w="421" w:type="dxa"/>
        <w:tblLook w:val="04A0" w:firstRow="1" w:lastRow="0" w:firstColumn="1" w:lastColumn="0" w:noHBand="0" w:noVBand="1"/>
      </w:tblPr>
      <w:tblGrid>
        <w:gridCol w:w="1427"/>
        <w:gridCol w:w="1549"/>
        <w:gridCol w:w="1560"/>
        <w:gridCol w:w="1340"/>
        <w:gridCol w:w="1495"/>
        <w:gridCol w:w="1559"/>
      </w:tblGrid>
      <w:tr w:rsidR="008F624F" w:rsidRPr="00070F6C" w:rsidTr="001D356D">
        <w:tc>
          <w:tcPr>
            <w:tcW w:w="1427" w:type="dxa"/>
            <w:shd w:val="clear" w:color="auto" w:fill="auto"/>
            <w:vAlign w:val="center"/>
          </w:tcPr>
          <w:p w:rsidR="008F624F" w:rsidRPr="00070F6C" w:rsidRDefault="008F624F" w:rsidP="00070F6C">
            <w:pPr>
              <w:pStyle w:val="Default"/>
              <w:spacing w:before="60" w:after="60"/>
              <w:jc w:val="center"/>
              <w:rPr>
                <w:b/>
                <w:sz w:val="22"/>
              </w:rPr>
            </w:pPr>
            <w:r w:rsidRPr="00070F6C">
              <w:rPr>
                <w:b/>
                <w:sz w:val="22"/>
              </w:rPr>
              <w:t>Description</w:t>
            </w:r>
          </w:p>
        </w:tc>
        <w:tc>
          <w:tcPr>
            <w:tcW w:w="1549" w:type="dxa"/>
            <w:shd w:val="clear" w:color="auto" w:fill="auto"/>
            <w:vAlign w:val="center"/>
          </w:tcPr>
          <w:p w:rsidR="008F624F" w:rsidRPr="00070F6C" w:rsidRDefault="008F624F" w:rsidP="00070F6C">
            <w:pPr>
              <w:pStyle w:val="Default"/>
              <w:spacing w:before="60" w:after="60"/>
              <w:jc w:val="center"/>
              <w:rPr>
                <w:b/>
                <w:sz w:val="22"/>
              </w:rPr>
            </w:pPr>
            <w:r w:rsidRPr="00070F6C">
              <w:rPr>
                <w:b/>
                <w:sz w:val="22"/>
              </w:rPr>
              <w:t>0 to 30 days</w:t>
            </w:r>
          </w:p>
        </w:tc>
        <w:tc>
          <w:tcPr>
            <w:tcW w:w="1560" w:type="dxa"/>
            <w:shd w:val="clear" w:color="auto" w:fill="auto"/>
            <w:vAlign w:val="center"/>
          </w:tcPr>
          <w:p w:rsidR="008F624F" w:rsidRPr="00070F6C" w:rsidRDefault="008F624F" w:rsidP="00070F6C">
            <w:pPr>
              <w:pStyle w:val="Default"/>
              <w:spacing w:before="60" w:after="60"/>
              <w:jc w:val="center"/>
              <w:rPr>
                <w:b/>
                <w:sz w:val="22"/>
              </w:rPr>
            </w:pPr>
            <w:r w:rsidRPr="00070F6C">
              <w:rPr>
                <w:b/>
                <w:sz w:val="22"/>
              </w:rPr>
              <w:t>31 to 60 days</w:t>
            </w:r>
          </w:p>
        </w:tc>
        <w:tc>
          <w:tcPr>
            <w:tcW w:w="1340" w:type="dxa"/>
            <w:shd w:val="clear" w:color="auto" w:fill="auto"/>
            <w:vAlign w:val="center"/>
          </w:tcPr>
          <w:p w:rsidR="008F624F" w:rsidRPr="00070F6C" w:rsidRDefault="008F624F" w:rsidP="00070F6C">
            <w:pPr>
              <w:pStyle w:val="Default"/>
              <w:spacing w:before="60" w:after="60"/>
              <w:jc w:val="center"/>
              <w:rPr>
                <w:b/>
                <w:sz w:val="22"/>
              </w:rPr>
            </w:pPr>
            <w:r w:rsidRPr="00070F6C">
              <w:rPr>
                <w:b/>
                <w:sz w:val="22"/>
              </w:rPr>
              <w:t>61 to 90 days</w:t>
            </w:r>
          </w:p>
        </w:tc>
        <w:tc>
          <w:tcPr>
            <w:tcW w:w="1495" w:type="dxa"/>
            <w:shd w:val="clear" w:color="auto" w:fill="auto"/>
            <w:vAlign w:val="center"/>
          </w:tcPr>
          <w:p w:rsidR="008F624F" w:rsidRPr="00070F6C" w:rsidRDefault="008F624F" w:rsidP="00070F6C">
            <w:pPr>
              <w:pStyle w:val="Default"/>
              <w:spacing w:before="60" w:after="60"/>
              <w:jc w:val="center"/>
              <w:rPr>
                <w:b/>
                <w:sz w:val="22"/>
              </w:rPr>
            </w:pPr>
            <w:r w:rsidRPr="00070F6C">
              <w:rPr>
                <w:b/>
                <w:sz w:val="22"/>
              </w:rPr>
              <w:t>91 to 120 days</w:t>
            </w:r>
          </w:p>
        </w:tc>
        <w:tc>
          <w:tcPr>
            <w:tcW w:w="1559" w:type="dxa"/>
            <w:shd w:val="clear" w:color="auto" w:fill="auto"/>
            <w:vAlign w:val="center"/>
          </w:tcPr>
          <w:p w:rsidR="008F624F" w:rsidRPr="00070F6C" w:rsidRDefault="008F624F" w:rsidP="00070F6C">
            <w:pPr>
              <w:pStyle w:val="Default"/>
              <w:spacing w:before="60" w:after="60"/>
              <w:jc w:val="center"/>
              <w:rPr>
                <w:b/>
                <w:sz w:val="22"/>
              </w:rPr>
            </w:pPr>
            <w:r w:rsidRPr="00070F6C">
              <w:rPr>
                <w:b/>
                <w:sz w:val="22"/>
              </w:rPr>
              <w:t>Over 120 days</w:t>
            </w:r>
          </w:p>
        </w:tc>
      </w:tr>
      <w:tr w:rsidR="008F624F" w:rsidRPr="00070F6C" w:rsidTr="001D356D">
        <w:tc>
          <w:tcPr>
            <w:tcW w:w="1427" w:type="dxa"/>
            <w:shd w:val="clear" w:color="auto" w:fill="auto"/>
          </w:tcPr>
          <w:p w:rsidR="008F624F" w:rsidRPr="00070F6C" w:rsidRDefault="008F624F" w:rsidP="00070F6C">
            <w:pPr>
              <w:pStyle w:val="Default"/>
              <w:spacing w:before="60" w:after="60"/>
              <w:jc w:val="both"/>
              <w:rPr>
                <w:sz w:val="22"/>
              </w:rPr>
            </w:pPr>
            <w:r w:rsidRPr="00070F6C">
              <w:rPr>
                <w:sz w:val="22"/>
              </w:rPr>
              <w:t xml:space="preserve">Number </w:t>
            </w:r>
          </w:p>
        </w:tc>
        <w:tc>
          <w:tcPr>
            <w:tcW w:w="1549" w:type="dxa"/>
            <w:shd w:val="clear" w:color="auto" w:fill="auto"/>
          </w:tcPr>
          <w:p w:rsidR="008F624F" w:rsidRPr="00070F6C" w:rsidRDefault="008F624F" w:rsidP="001D356D">
            <w:pPr>
              <w:pStyle w:val="Default"/>
              <w:spacing w:before="60" w:after="60"/>
              <w:jc w:val="center"/>
              <w:rPr>
                <w:sz w:val="22"/>
              </w:rPr>
            </w:pPr>
            <w:r w:rsidRPr="00070F6C">
              <w:rPr>
                <w:sz w:val="22"/>
              </w:rPr>
              <w:t>180</w:t>
            </w:r>
          </w:p>
        </w:tc>
        <w:tc>
          <w:tcPr>
            <w:tcW w:w="1560" w:type="dxa"/>
            <w:shd w:val="clear" w:color="auto" w:fill="auto"/>
          </w:tcPr>
          <w:p w:rsidR="008F624F" w:rsidRPr="00070F6C" w:rsidRDefault="008F624F" w:rsidP="001D356D">
            <w:pPr>
              <w:pStyle w:val="Default"/>
              <w:spacing w:before="60" w:after="60"/>
              <w:jc w:val="center"/>
              <w:rPr>
                <w:sz w:val="22"/>
              </w:rPr>
            </w:pPr>
            <w:r w:rsidRPr="00070F6C">
              <w:rPr>
                <w:sz w:val="22"/>
              </w:rPr>
              <w:t>2</w:t>
            </w:r>
          </w:p>
        </w:tc>
        <w:tc>
          <w:tcPr>
            <w:tcW w:w="1340" w:type="dxa"/>
            <w:shd w:val="clear" w:color="auto" w:fill="auto"/>
          </w:tcPr>
          <w:p w:rsidR="008F624F" w:rsidRPr="00070F6C" w:rsidRDefault="008F624F" w:rsidP="001D356D">
            <w:pPr>
              <w:pStyle w:val="Default"/>
              <w:spacing w:before="60" w:after="60"/>
              <w:jc w:val="center"/>
              <w:rPr>
                <w:sz w:val="22"/>
              </w:rPr>
            </w:pPr>
            <w:r w:rsidRPr="00070F6C">
              <w:rPr>
                <w:sz w:val="22"/>
              </w:rPr>
              <w:t>1</w:t>
            </w:r>
          </w:p>
        </w:tc>
        <w:tc>
          <w:tcPr>
            <w:tcW w:w="1495" w:type="dxa"/>
            <w:shd w:val="clear" w:color="auto" w:fill="auto"/>
          </w:tcPr>
          <w:p w:rsidR="008F624F" w:rsidRPr="00070F6C" w:rsidRDefault="008F624F" w:rsidP="001D356D">
            <w:pPr>
              <w:pStyle w:val="Default"/>
              <w:spacing w:before="60" w:after="60"/>
              <w:jc w:val="center"/>
              <w:rPr>
                <w:sz w:val="22"/>
              </w:rPr>
            </w:pPr>
            <w:r w:rsidRPr="00070F6C">
              <w:rPr>
                <w:sz w:val="22"/>
              </w:rPr>
              <w:t>5</w:t>
            </w:r>
          </w:p>
        </w:tc>
        <w:tc>
          <w:tcPr>
            <w:tcW w:w="1559" w:type="dxa"/>
            <w:shd w:val="clear" w:color="auto" w:fill="auto"/>
          </w:tcPr>
          <w:p w:rsidR="008F624F" w:rsidRPr="00070F6C" w:rsidRDefault="008F624F" w:rsidP="001D356D">
            <w:pPr>
              <w:pStyle w:val="Default"/>
              <w:spacing w:before="60" w:after="60"/>
              <w:jc w:val="center"/>
              <w:rPr>
                <w:sz w:val="22"/>
              </w:rPr>
            </w:pPr>
            <w:r w:rsidRPr="00070F6C">
              <w:rPr>
                <w:sz w:val="22"/>
              </w:rPr>
              <w:t>20</w:t>
            </w:r>
          </w:p>
        </w:tc>
      </w:tr>
      <w:tr w:rsidR="006C30A0" w:rsidRPr="00070F6C" w:rsidTr="001D356D">
        <w:tc>
          <w:tcPr>
            <w:tcW w:w="1427" w:type="dxa"/>
            <w:shd w:val="clear" w:color="auto" w:fill="auto"/>
          </w:tcPr>
          <w:p w:rsidR="006C30A0" w:rsidRPr="00070F6C" w:rsidRDefault="006C30A0" w:rsidP="00070F6C">
            <w:pPr>
              <w:pStyle w:val="Default"/>
              <w:spacing w:before="60" w:after="60"/>
              <w:jc w:val="both"/>
              <w:rPr>
                <w:sz w:val="22"/>
              </w:rPr>
            </w:pPr>
            <w:r w:rsidRPr="00070F6C">
              <w:rPr>
                <w:sz w:val="22"/>
              </w:rPr>
              <w:t>Amount</w:t>
            </w:r>
          </w:p>
        </w:tc>
        <w:tc>
          <w:tcPr>
            <w:tcW w:w="1549" w:type="dxa"/>
            <w:shd w:val="clear" w:color="auto" w:fill="auto"/>
          </w:tcPr>
          <w:p w:rsidR="006C30A0" w:rsidRPr="00070F6C" w:rsidRDefault="006C30A0" w:rsidP="00070F6C">
            <w:pPr>
              <w:pStyle w:val="Default"/>
              <w:spacing w:before="60" w:after="60"/>
              <w:jc w:val="right"/>
              <w:rPr>
                <w:sz w:val="22"/>
              </w:rPr>
            </w:pPr>
            <w:r w:rsidRPr="00070F6C">
              <w:rPr>
                <w:sz w:val="22"/>
              </w:rPr>
              <w:t>R12 357 277</w:t>
            </w:r>
          </w:p>
        </w:tc>
        <w:tc>
          <w:tcPr>
            <w:tcW w:w="1560" w:type="dxa"/>
            <w:shd w:val="clear" w:color="auto" w:fill="auto"/>
          </w:tcPr>
          <w:p w:rsidR="006C30A0" w:rsidRPr="00070F6C" w:rsidRDefault="006C30A0" w:rsidP="00070F6C">
            <w:pPr>
              <w:pStyle w:val="Default"/>
              <w:spacing w:before="60" w:after="60"/>
              <w:jc w:val="right"/>
              <w:rPr>
                <w:sz w:val="22"/>
              </w:rPr>
            </w:pPr>
            <w:r w:rsidRPr="00070F6C">
              <w:rPr>
                <w:sz w:val="22"/>
              </w:rPr>
              <w:t>R123 000</w:t>
            </w:r>
          </w:p>
        </w:tc>
        <w:tc>
          <w:tcPr>
            <w:tcW w:w="1340" w:type="dxa"/>
            <w:shd w:val="clear" w:color="auto" w:fill="auto"/>
          </w:tcPr>
          <w:p w:rsidR="006C30A0" w:rsidRPr="00070F6C" w:rsidRDefault="006C30A0" w:rsidP="00070F6C">
            <w:pPr>
              <w:pStyle w:val="Default"/>
              <w:spacing w:before="60" w:after="60"/>
              <w:jc w:val="right"/>
              <w:rPr>
                <w:sz w:val="22"/>
              </w:rPr>
            </w:pPr>
            <w:r w:rsidRPr="00070F6C">
              <w:rPr>
                <w:sz w:val="22"/>
              </w:rPr>
              <w:t>R750</w:t>
            </w:r>
          </w:p>
        </w:tc>
        <w:tc>
          <w:tcPr>
            <w:tcW w:w="1495" w:type="dxa"/>
            <w:shd w:val="clear" w:color="auto" w:fill="auto"/>
          </w:tcPr>
          <w:p w:rsidR="006C30A0" w:rsidRPr="00070F6C" w:rsidRDefault="006C30A0" w:rsidP="00070F6C">
            <w:pPr>
              <w:pStyle w:val="Default"/>
              <w:spacing w:before="60" w:after="60"/>
              <w:jc w:val="right"/>
              <w:rPr>
                <w:sz w:val="22"/>
              </w:rPr>
            </w:pPr>
            <w:r w:rsidRPr="00070F6C">
              <w:rPr>
                <w:sz w:val="22"/>
              </w:rPr>
              <w:t>R28 743</w:t>
            </w:r>
          </w:p>
        </w:tc>
        <w:tc>
          <w:tcPr>
            <w:tcW w:w="1559" w:type="dxa"/>
            <w:shd w:val="clear" w:color="auto" w:fill="auto"/>
          </w:tcPr>
          <w:p w:rsidR="006C30A0" w:rsidRPr="00070F6C" w:rsidRDefault="006C30A0" w:rsidP="00070F6C">
            <w:pPr>
              <w:pStyle w:val="Default"/>
              <w:spacing w:before="60" w:after="60"/>
              <w:jc w:val="right"/>
              <w:rPr>
                <w:sz w:val="22"/>
              </w:rPr>
            </w:pPr>
            <w:r w:rsidRPr="00070F6C">
              <w:rPr>
                <w:sz w:val="22"/>
              </w:rPr>
              <w:t>R896 393</w:t>
            </w:r>
          </w:p>
        </w:tc>
      </w:tr>
    </w:tbl>
    <w:p w:rsidR="001F2DE3" w:rsidRDefault="001F2DE3">
      <w:pPr>
        <w:spacing w:after="0" w:line="240" w:lineRule="auto"/>
        <w:rPr>
          <w:rFonts w:ascii="Arial" w:hAnsi="Arial" w:cs="Arial"/>
          <w:b/>
          <w:sz w:val="24"/>
          <w:szCs w:val="24"/>
        </w:rPr>
      </w:pPr>
      <w:r>
        <w:rPr>
          <w:rFonts w:ascii="Arial" w:hAnsi="Arial" w:cs="Arial"/>
          <w:b/>
          <w:sz w:val="24"/>
          <w:szCs w:val="24"/>
        </w:rPr>
        <w:br w:type="page"/>
      </w:r>
    </w:p>
    <w:p w:rsidR="001F2DE3" w:rsidRPr="001F2DE3" w:rsidRDefault="00B724AD" w:rsidP="001F2DE3">
      <w:pPr>
        <w:pStyle w:val="ListParagraph"/>
        <w:numPr>
          <w:ilvl w:val="0"/>
          <w:numId w:val="38"/>
        </w:numPr>
        <w:spacing w:after="0" w:line="360" w:lineRule="auto"/>
        <w:ind w:left="850" w:right="6" w:hanging="425"/>
        <w:contextualSpacing w:val="0"/>
        <w:jc w:val="both"/>
        <w:rPr>
          <w:rFonts w:ascii="Arial" w:hAnsi="Arial" w:cs="Arial"/>
          <w:b/>
          <w:sz w:val="24"/>
          <w:szCs w:val="24"/>
        </w:rPr>
      </w:pPr>
      <w:r w:rsidRPr="001F2DE3">
        <w:rPr>
          <w:rFonts w:ascii="Arial" w:hAnsi="Arial" w:cs="Arial"/>
          <w:b/>
          <w:sz w:val="24"/>
          <w:szCs w:val="24"/>
        </w:rPr>
        <w:lastRenderedPageBreak/>
        <w:t>National Student Financial Aid Scheme</w:t>
      </w:r>
      <w:r w:rsidR="001F2DE3">
        <w:rPr>
          <w:rFonts w:ascii="Arial" w:hAnsi="Arial" w:cs="Arial"/>
          <w:b/>
          <w:sz w:val="24"/>
          <w:szCs w:val="24"/>
        </w:rPr>
        <w:t xml:space="preserve"> - </w:t>
      </w:r>
      <w:r w:rsidR="00DC4578" w:rsidRPr="001F2DE3">
        <w:rPr>
          <w:rFonts w:ascii="Arial" w:hAnsi="Arial" w:cs="Arial"/>
          <w:sz w:val="24"/>
          <w:szCs w:val="24"/>
        </w:rPr>
        <w:t>Accounts older than</w:t>
      </w:r>
      <w:r w:rsidR="001D356D">
        <w:rPr>
          <w:rFonts w:ascii="Arial" w:hAnsi="Arial" w:cs="Arial"/>
          <w:sz w:val="24"/>
          <w:szCs w:val="24"/>
        </w:rPr>
        <w:t xml:space="preserve"> 120 days are the result of </w:t>
      </w:r>
      <w:r w:rsidR="00DC4578" w:rsidRPr="001F2DE3">
        <w:rPr>
          <w:rFonts w:ascii="Arial" w:hAnsi="Arial" w:cs="Arial"/>
          <w:sz w:val="24"/>
          <w:szCs w:val="24"/>
        </w:rPr>
        <w:t xml:space="preserve">verification </w:t>
      </w:r>
      <w:r w:rsidR="001D356D">
        <w:rPr>
          <w:rFonts w:ascii="Arial" w:hAnsi="Arial" w:cs="Arial"/>
          <w:sz w:val="24"/>
          <w:szCs w:val="24"/>
        </w:rPr>
        <w:t xml:space="preserve">processes </w:t>
      </w:r>
      <w:r w:rsidR="00B20E3E">
        <w:rPr>
          <w:rFonts w:ascii="Arial" w:hAnsi="Arial" w:cs="Arial"/>
          <w:sz w:val="24"/>
          <w:szCs w:val="24"/>
        </w:rPr>
        <w:t>that need</w:t>
      </w:r>
      <w:r w:rsidR="00DC4578" w:rsidRPr="001F2DE3">
        <w:rPr>
          <w:rFonts w:ascii="Arial" w:hAnsi="Arial" w:cs="Arial"/>
          <w:sz w:val="24"/>
          <w:szCs w:val="24"/>
        </w:rPr>
        <w:t xml:space="preserve"> to</w:t>
      </w:r>
      <w:r w:rsidR="001D356D">
        <w:rPr>
          <w:rFonts w:ascii="Arial" w:hAnsi="Arial" w:cs="Arial"/>
          <w:sz w:val="24"/>
          <w:szCs w:val="24"/>
        </w:rPr>
        <w:t xml:space="preserve"> be completed before </w:t>
      </w:r>
      <w:r w:rsidR="00DC4578" w:rsidRPr="001F2DE3">
        <w:rPr>
          <w:rFonts w:ascii="Arial" w:hAnsi="Arial" w:cs="Arial"/>
          <w:sz w:val="24"/>
          <w:szCs w:val="24"/>
        </w:rPr>
        <w:t xml:space="preserve">invoices can be settled. Most accounts are settled within a period of less than 120 days. The verification </w:t>
      </w:r>
      <w:r w:rsidR="001D356D">
        <w:rPr>
          <w:rFonts w:ascii="Arial" w:hAnsi="Arial" w:cs="Arial"/>
          <w:sz w:val="24"/>
          <w:szCs w:val="24"/>
        </w:rPr>
        <w:t xml:space="preserve">process </w:t>
      </w:r>
      <w:r w:rsidR="00DC4578" w:rsidRPr="001F2DE3">
        <w:rPr>
          <w:rFonts w:ascii="Arial" w:hAnsi="Arial" w:cs="Arial"/>
          <w:sz w:val="24"/>
          <w:szCs w:val="24"/>
        </w:rPr>
        <w:t>includes:</w:t>
      </w:r>
    </w:p>
    <w:p w:rsidR="00B724AD" w:rsidRPr="001F2DE3" w:rsidRDefault="001F2DE3" w:rsidP="008E7D59">
      <w:pPr>
        <w:pStyle w:val="CommentText"/>
        <w:numPr>
          <w:ilvl w:val="0"/>
          <w:numId w:val="29"/>
        </w:numPr>
        <w:spacing w:after="0" w:line="360" w:lineRule="auto"/>
        <w:ind w:left="1276" w:hanging="425"/>
        <w:jc w:val="both"/>
        <w:rPr>
          <w:rFonts w:ascii="Arial" w:hAnsi="Arial" w:cs="Arial"/>
          <w:b/>
          <w:sz w:val="24"/>
          <w:szCs w:val="24"/>
        </w:rPr>
      </w:pPr>
      <w:r w:rsidRPr="001F2DE3">
        <w:rPr>
          <w:rFonts w:ascii="Arial" w:hAnsi="Arial" w:cs="Arial"/>
          <w:sz w:val="24"/>
          <w:szCs w:val="24"/>
        </w:rPr>
        <w:t xml:space="preserve">Confirmation </w:t>
      </w:r>
      <w:r w:rsidR="00B724AD" w:rsidRPr="001F2DE3">
        <w:rPr>
          <w:rFonts w:ascii="Arial" w:hAnsi="Arial" w:cs="Arial"/>
          <w:sz w:val="24"/>
          <w:szCs w:val="24"/>
        </w:rPr>
        <w:t xml:space="preserve">of banking details; </w:t>
      </w:r>
    </w:p>
    <w:p w:rsidR="00B724AD" w:rsidRPr="00EE4F7A" w:rsidRDefault="00B724AD" w:rsidP="008E7D59">
      <w:pPr>
        <w:pStyle w:val="CommentText"/>
        <w:numPr>
          <w:ilvl w:val="0"/>
          <w:numId w:val="29"/>
        </w:numPr>
        <w:spacing w:after="0" w:line="360" w:lineRule="auto"/>
        <w:ind w:left="1276" w:hanging="425"/>
        <w:jc w:val="both"/>
        <w:rPr>
          <w:rFonts w:ascii="Arial" w:hAnsi="Arial" w:cs="Arial"/>
          <w:sz w:val="24"/>
          <w:szCs w:val="24"/>
        </w:rPr>
      </w:pPr>
      <w:r w:rsidRPr="00EE4F7A">
        <w:rPr>
          <w:rFonts w:ascii="Arial" w:hAnsi="Arial" w:cs="Arial"/>
          <w:sz w:val="24"/>
          <w:szCs w:val="24"/>
        </w:rPr>
        <w:t xml:space="preserve">Users need to confirm that goods received or services delivered </w:t>
      </w:r>
      <w:r w:rsidR="00DC4578" w:rsidRPr="00EE4F7A">
        <w:rPr>
          <w:rFonts w:ascii="Arial" w:hAnsi="Arial" w:cs="Arial"/>
          <w:sz w:val="24"/>
          <w:szCs w:val="24"/>
        </w:rPr>
        <w:t>are</w:t>
      </w:r>
      <w:r w:rsidR="00CB3E8E" w:rsidRPr="00EE4F7A">
        <w:rPr>
          <w:rFonts w:ascii="Arial" w:hAnsi="Arial" w:cs="Arial"/>
          <w:sz w:val="24"/>
          <w:szCs w:val="24"/>
        </w:rPr>
        <w:t xml:space="preserve"> </w:t>
      </w:r>
      <w:r w:rsidRPr="00EE4F7A">
        <w:rPr>
          <w:rFonts w:ascii="Arial" w:hAnsi="Arial" w:cs="Arial"/>
          <w:sz w:val="24"/>
          <w:szCs w:val="24"/>
        </w:rPr>
        <w:t>in good order;</w:t>
      </w:r>
      <w:r w:rsidR="00DC4578" w:rsidRPr="00EE4F7A">
        <w:rPr>
          <w:rFonts w:ascii="Arial" w:hAnsi="Arial" w:cs="Arial"/>
          <w:sz w:val="24"/>
          <w:szCs w:val="24"/>
        </w:rPr>
        <w:t xml:space="preserve"> and</w:t>
      </w:r>
      <w:r w:rsidRPr="00EE4F7A">
        <w:rPr>
          <w:rFonts w:ascii="Arial" w:hAnsi="Arial" w:cs="Arial"/>
          <w:sz w:val="24"/>
          <w:szCs w:val="24"/>
        </w:rPr>
        <w:t xml:space="preserve"> </w:t>
      </w:r>
    </w:p>
    <w:p w:rsidR="00B724AD" w:rsidRPr="00EE4F7A" w:rsidRDefault="00B724AD" w:rsidP="001F2DE3">
      <w:pPr>
        <w:pStyle w:val="CommentText"/>
        <w:numPr>
          <w:ilvl w:val="0"/>
          <w:numId w:val="29"/>
        </w:numPr>
        <w:spacing w:after="240" w:line="360" w:lineRule="auto"/>
        <w:ind w:left="1276" w:hanging="425"/>
        <w:jc w:val="both"/>
        <w:rPr>
          <w:rFonts w:ascii="Arial" w:hAnsi="Arial" w:cs="Arial"/>
          <w:sz w:val="24"/>
          <w:szCs w:val="24"/>
        </w:rPr>
      </w:pPr>
      <w:r w:rsidRPr="00EE4F7A">
        <w:rPr>
          <w:rFonts w:ascii="Arial" w:hAnsi="Arial" w:cs="Arial"/>
          <w:sz w:val="24"/>
          <w:szCs w:val="24"/>
        </w:rPr>
        <w:t xml:space="preserve">Invoice(s) need to be matched to </w:t>
      </w:r>
      <w:proofErr w:type="gramStart"/>
      <w:r w:rsidRPr="00EE4F7A">
        <w:rPr>
          <w:rFonts w:ascii="Arial" w:hAnsi="Arial" w:cs="Arial"/>
          <w:sz w:val="24"/>
          <w:szCs w:val="24"/>
        </w:rPr>
        <w:t>approve</w:t>
      </w:r>
      <w:r w:rsidR="001D356D">
        <w:rPr>
          <w:rFonts w:ascii="Arial" w:hAnsi="Arial" w:cs="Arial"/>
          <w:sz w:val="24"/>
          <w:szCs w:val="24"/>
        </w:rPr>
        <w:t>d</w:t>
      </w:r>
      <w:proofErr w:type="gramEnd"/>
      <w:r w:rsidR="001D356D">
        <w:rPr>
          <w:rFonts w:ascii="Arial" w:hAnsi="Arial" w:cs="Arial"/>
          <w:sz w:val="24"/>
          <w:szCs w:val="24"/>
        </w:rPr>
        <w:t xml:space="preserve"> purchase o</w:t>
      </w:r>
      <w:r w:rsidRPr="00EE4F7A">
        <w:rPr>
          <w:rFonts w:ascii="Arial" w:hAnsi="Arial" w:cs="Arial"/>
          <w:sz w:val="24"/>
          <w:szCs w:val="24"/>
        </w:rPr>
        <w:t>rders.</w:t>
      </w:r>
    </w:p>
    <w:p w:rsidR="00D31D31" w:rsidRPr="008E7D59" w:rsidRDefault="00B724AD" w:rsidP="008E7D59">
      <w:pPr>
        <w:pStyle w:val="ListParagraph"/>
        <w:numPr>
          <w:ilvl w:val="0"/>
          <w:numId w:val="38"/>
        </w:numPr>
        <w:spacing w:after="240" w:line="360" w:lineRule="auto"/>
        <w:ind w:left="850" w:right="6" w:hanging="425"/>
        <w:contextualSpacing w:val="0"/>
        <w:jc w:val="both"/>
        <w:rPr>
          <w:rFonts w:ascii="Arial" w:hAnsi="Arial" w:cs="Arial"/>
          <w:sz w:val="24"/>
          <w:szCs w:val="24"/>
        </w:rPr>
      </w:pPr>
      <w:r w:rsidRPr="008E7D59">
        <w:rPr>
          <w:rFonts w:ascii="Arial" w:hAnsi="Arial" w:cs="Arial"/>
          <w:sz w:val="24"/>
          <w:szCs w:val="24"/>
        </w:rPr>
        <w:t>Accounts older than 120 days are being monitored on a weekly basis and follow</w:t>
      </w:r>
      <w:r w:rsidR="00DC4578" w:rsidRPr="008E7D59">
        <w:rPr>
          <w:rFonts w:ascii="Arial" w:hAnsi="Arial" w:cs="Arial"/>
          <w:sz w:val="24"/>
          <w:szCs w:val="24"/>
        </w:rPr>
        <w:t>ed</w:t>
      </w:r>
      <w:r w:rsidRPr="008E7D59">
        <w:rPr>
          <w:rFonts w:ascii="Arial" w:hAnsi="Arial" w:cs="Arial"/>
          <w:sz w:val="24"/>
          <w:szCs w:val="24"/>
        </w:rPr>
        <w:t xml:space="preserve"> up with users and suppliers to resolve issues </w:t>
      </w:r>
      <w:r w:rsidR="001D356D">
        <w:rPr>
          <w:rFonts w:ascii="Arial" w:hAnsi="Arial" w:cs="Arial"/>
          <w:sz w:val="24"/>
          <w:szCs w:val="24"/>
        </w:rPr>
        <w:t>that could delay</w:t>
      </w:r>
      <w:r w:rsidRPr="008E7D59">
        <w:rPr>
          <w:rFonts w:ascii="Arial" w:hAnsi="Arial" w:cs="Arial"/>
          <w:sz w:val="24"/>
          <w:szCs w:val="24"/>
        </w:rPr>
        <w:t xml:space="preserve"> payment</w:t>
      </w:r>
      <w:r w:rsidR="00DC4578" w:rsidRPr="008E7D59">
        <w:rPr>
          <w:rFonts w:ascii="Arial" w:hAnsi="Arial" w:cs="Arial"/>
          <w:sz w:val="24"/>
          <w:szCs w:val="24"/>
        </w:rPr>
        <w:t>s</w:t>
      </w:r>
      <w:r w:rsidRPr="008E7D59">
        <w:rPr>
          <w:rFonts w:ascii="Arial" w:hAnsi="Arial" w:cs="Arial"/>
          <w:sz w:val="24"/>
          <w:szCs w:val="24"/>
        </w:rPr>
        <w:t>.</w:t>
      </w:r>
    </w:p>
    <w:p w:rsidR="00D31D31" w:rsidRPr="00EE4F7A" w:rsidRDefault="00B86423" w:rsidP="008E7D59">
      <w:pPr>
        <w:pStyle w:val="ListParagraph"/>
        <w:numPr>
          <w:ilvl w:val="0"/>
          <w:numId w:val="38"/>
        </w:numPr>
        <w:spacing w:after="240" w:line="360" w:lineRule="auto"/>
        <w:ind w:left="850" w:right="6" w:hanging="425"/>
        <w:contextualSpacing w:val="0"/>
        <w:jc w:val="both"/>
        <w:rPr>
          <w:rFonts w:ascii="Arial" w:hAnsi="Arial" w:cs="Arial"/>
          <w:sz w:val="24"/>
          <w:szCs w:val="24"/>
        </w:rPr>
      </w:pPr>
      <w:r>
        <w:rPr>
          <w:rFonts w:ascii="Arial" w:hAnsi="Arial" w:cs="Arial"/>
          <w:sz w:val="24"/>
          <w:szCs w:val="24"/>
        </w:rPr>
        <w:t xml:space="preserve">The </w:t>
      </w:r>
      <w:r w:rsidRPr="00EE4F7A">
        <w:rPr>
          <w:rFonts w:ascii="Arial" w:hAnsi="Arial" w:cs="Arial"/>
          <w:sz w:val="24"/>
          <w:szCs w:val="24"/>
        </w:rPr>
        <w:t xml:space="preserve">current </w:t>
      </w:r>
      <w:r w:rsidR="00EC470C">
        <w:rPr>
          <w:rFonts w:ascii="Arial" w:hAnsi="Arial" w:cs="Arial"/>
          <w:sz w:val="24"/>
          <w:szCs w:val="24"/>
        </w:rPr>
        <w:t xml:space="preserve">age analysis for </w:t>
      </w:r>
      <w:r>
        <w:rPr>
          <w:rFonts w:ascii="Arial" w:hAnsi="Arial" w:cs="Arial"/>
          <w:sz w:val="24"/>
          <w:szCs w:val="24"/>
        </w:rPr>
        <w:t>unpaid invoices is provided below:</w:t>
      </w:r>
    </w:p>
    <w:tbl>
      <w:tblPr>
        <w:tblStyle w:val="TableGrid"/>
        <w:tblW w:w="8930" w:type="dxa"/>
        <w:tblInd w:w="421" w:type="dxa"/>
        <w:tblLook w:val="04A0" w:firstRow="1" w:lastRow="0" w:firstColumn="1" w:lastColumn="0" w:noHBand="0" w:noVBand="1"/>
      </w:tblPr>
      <w:tblGrid>
        <w:gridCol w:w="1427"/>
        <w:gridCol w:w="1556"/>
        <w:gridCol w:w="1558"/>
        <w:gridCol w:w="1412"/>
        <w:gridCol w:w="1420"/>
        <w:gridCol w:w="1557"/>
      </w:tblGrid>
      <w:tr w:rsidR="00F6791F" w:rsidRPr="00EE4F7A" w:rsidTr="001D356D">
        <w:tc>
          <w:tcPr>
            <w:tcW w:w="1427" w:type="dxa"/>
            <w:shd w:val="clear" w:color="auto" w:fill="auto"/>
            <w:vAlign w:val="center"/>
          </w:tcPr>
          <w:p w:rsidR="00F6791F" w:rsidRPr="008E7D59" w:rsidRDefault="00F6791F" w:rsidP="008E7D59">
            <w:pPr>
              <w:pStyle w:val="Default"/>
              <w:spacing w:before="60" w:after="60"/>
              <w:rPr>
                <w:b/>
                <w:sz w:val="22"/>
              </w:rPr>
            </w:pPr>
            <w:r w:rsidRPr="008E7D59">
              <w:rPr>
                <w:b/>
                <w:sz w:val="22"/>
              </w:rPr>
              <w:t>Description</w:t>
            </w:r>
          </w:p>
        </w:tc>
        <w:tc>
          <w:tcPr>
            <w:tcW w:w="1556" w:type="dxa"/>
            <w:shd w:val="clear" w:color="auto" w:fill="auto"/>
            <w:vAlign w:val="center"/>
          </w:tcPr>
          <w:p w:rsidR="00F6791F" w:rsidRPr="008E7D59" w:rsidRDefault="00F6791F" w:rsidP="008E7D59">
            <w:pPr>
              <w:pStyle w:val="Default"/>
              <w:spacing w:before="60" w:after="60"/>
              <w:jc w:val="center"/>
              <w:rPr>
                <w:b/>
                <w:sz w:val="22"/>
              </w:rPr>
            </w:pPr>
            <w:r w:rsidRPr="008E7D59">
              <w:rPr>
                <w:b/>
                <w:sz w:val="22"/>
              </w:rPr>
              <w:t>0 to 30 days</w:t>
            </w:r>
          </w:p>
        </w:tc>
        <w:tc>
          <w:tcPr>
            <w:tcW w:w="1558" w:type="dxa"/>
            <w:shd w:val="clear" w:color="auto" w:fill="auto"/>
            <w:vAlign w:val="center"/>
          </w:tcPr>
          <w:p w:rsidR="00F6791F" w:rsidRPr="008E7D59" w:rsidRDefault="00F6791F" w:rsidP="008E7D59">
            <w:pPr>
              <w:pStyle w:val="Default"/>
              <w:spacing w:before="60" w:after="60"/>
              <w:jc w:val="center"/>
              <w:rPr>
                <w:b/>
                <w:sz w:val="22"/>
              </w:rPr>
            </w:pPr>
            <w:r w:rsidRPr="008E7D59">
              <w:rPr>
                <w:b/>
                <w:sz w:val="22"/>
              </w:rPr>
              <w:t>31 to 60 days</w:t>
            </w:r>
          </w:p>
        </w:tc>
        <w:tc>
          <w:tcPr>
            <w:tcW w:w="1412" w:type="dxa"/>
            <w:shd w:val="clear" w:color="auto" w:fill="auto"/>
            <w:vAlign w:val="center"/>
          </w:tcPr>
          <w:p w:rsidR="00F6791F" w:rsidRPr="008E7D59" w:rsidRDefault="00F6791F" w:rsidP="008E7D59">
            <w:pPr>
              <w:pStyle w:val="Default"/>
              <w:spacing w:before="60" w:after="60"/>
              <w:jc w:val="center"/>
              <w:rPr>
                <w:b/>
                <w:sz w:val="22"/>
              </w:rPr>
            </w:pPr>
            <w:r w:rsidRPr="008E7D59">
              <w:rPr>
                <w:b/>
                <w:sz w:val="22"/>
              </w:rPr>
              <w:t>61 to 90 days</w:t>
            </w:r>
          </w:p>
        </w:tc>
        <w:tc>
          <w:tcPr>
            <w:tcW w:w="1420" w:type="dxa"/>
            <w:shd w:val="clear" w:color="auto" w:fill="auto"/>
            <w:vAlign w:val="center"/>
          </w:tcPr>
          <w:p w:rsidR="00F6791F" w:rsidRPr="008E7D59" w:rsidRDefault="00F6791F" w:rsidP="008E7D59">
            <w:pPr>
              <w:pStyle w:val="Default"/>
              <w:spacing w:before="60" w:after="60"/>
              <w:jc w:val="center"/>
              <w:rPr>
                <w:b/>
                <w:sz w:val="22"/>
              </w:rPr>
            </w:pPr>
            <w:r w:rsidRPr="008E7D59">
              <w:rPr>
                <w:b/>
                <w:sz w:val="22"/>
              </w:rPr>
              <w:t>91 to 120 days</w:t>
            </w:r>
          </w:p>
        </w:tc>
        <w:tc>
          <w:tcPr>
            <w:tcW w:w="1557" w:type="dxa"/>
            <w:shd w:val="clear" w:color="auto" w:fill="auto"/>
            <w:vAlign w:val="center"/>
          </w:tcPr>
          <w:p w:rsidR="00F6791F" w:rsidRPr="008E7D59" w:rsidRDefault="00F6791F" w:rsidP="008E7D59">
            <w:pPr>
              <w:pStyle w:val="Default"/>
              <w:spacing w:before="60" w:after="60"/>
              <w:jc w:val="center"/>
              <w:rPr>
                <w:b/>
                <w:sz w:val="22"/>
              </w:rPr>
            </w:pPr>
            <w:r w:rsidRPr="008E7D59">
              <w:rPr>
                <w:b/>
                <w:sz w:val="22"/>
              </w:rPr>
              <w:t>Over 120 days</w:t>
            </w:r>
          </w:p>
        </w:tc>
      </w:tr>
      <w:tr w:rsidR="00F6791F" w:rsidRPr="00EE4F7A" w:rsidTr="001D356D">
        <w:tc>
          <w:tcPr>
            <w:tcW w:w="1427" w:type="dxa"/>
            <w:shd w:val="clear" w:color="auto" w:fill="auto"/>
          </w:tcPr>
          <w:p w:rsidR="00F6791F" w:rsidRPr="008E7D59" w:rsidRDefault="00F6791F" w:rsidP="008E7D59">
            <w:pPr>
              <w:pStyle w:val="Default"/>
              <w:spacing w:before="60" w:after="60"/>
              <w:rPr>
                <w:sz w:val="22"/>
              </w:rPr>
            </w:pPr>
            <w:r w:rsidRPr="008E7D59">
              <w:rPr>
                <w:sz w:val="22"/>
              </w:rPr>
              <w:t>Amount</w:t>
            </w:r>
          </w:p>
        </w:tc>
        <w:tc>
          <w:tcPr>
            <w:tcW w:w="1556" w:type="dxa"/>
            <w:shd w:val="clear" w:color="auto" w:fill="auto"/>
          </w:tcPr>
          <w:p w:rsidR="00F6791F" w:rsidRPr="008E7D59" w:rsidRDefault="00F6791F" w:rsidP="008E7D59">
            <w:pPr>
              <w:spacing w:before="60" w:after="60" w:line="240" w:lineRule="auto"/>
              <w:jc w:val="right"/>
              <w:rPr>
                <w:rFonts w:ascii="Arial" w:hAnsi="Arial" w:cs="Arial"/>
                <w:color w:val="000000"/>
                <w:szCs w:val="24"/>
                <w:lang w:val="en-US" w:eastAsia="ja-JP"/>
              </w:rPr>
            </w:pPr>
            <w:r w:rsidRPr="008E7D59">
              <w:rPr>
                <w:rFonts w:ascii="Arial" w:hAnsi="Arial" w:cs="Arial"/>
                <w:color w:val="000000"/>
                <w:szCs w:val="24"/>
                <w:lang w:val="en-US" w:eastAsia="ja-JP"/>
              </w:rPr>
              <w:t>R1</w:t>
            </w:r>
            <w:r w:rsidR="00DC4578" w:rsidRPr="008E7D59">
              <w:rPr>
                <w:rFonts w:ascii="Arial" w:hAnsi="Arial" w:cs="Arial"/>
                <w:color w:val="000000"/>
                <w:szCs w:val="24"/>
                <w:lang w:val="en-US" w:eastAsia="ja-JP"/>
              </w:rPr>
              <w:t xml:space="preserve"> </w:t>
            </w:r>
            <w:r w:rsidRPr="008E7D59">
              <w:rPr>
                <w:rFonts w:ascii="Arial" w:hAnsi="Arial" w:cs="Arial"/>
                <w:color w:val="000000"/>
                <w:szCs w:val="24"/>
                <w:lang w:val="en-US" w:eastAsia="ja-JP"/>
              </w:rPr>
              <w:t>094</w:t>
            </w:r>
            <w:r w:rsidR="00DC4578" w:rsidRPr="008E7D59">
              <w:rPr>
                <w:rFonts w:ascii="Arial" w:hAnsi="Arial" w:cs="Arial"/>
                <w:color w:val="000000"/>
                <w:szCs w:val="24"/>
                <w:lang w:val="en-US" w:eastAsia="ja-JP"/>
              </w:rPr>
              <w:t xml:space="preserve"> </w:t>
            </w:r>
            <w:r w:rsidRPr="008E7D59">
              <w:rPr>
                <w:rFonts w:ascii="Arial" w:hAnsi="Arial" w:cs="Arial"/>
                <w:color w:val="000000"/>
                <w:szCs w:val="24"/>
                <w:lang w:val="en-US" w:eastAsia="ja-JP"/>
              </w:rPr>
              <w:t xml:space="preserve">922 </w:t>
            </w:r>
          </w:p>
        </w:tc>
        <w:tc>
          <w:tcPr>
            <w:tcW w:w="1558" w:type="dxa"/>
            <w:shd w:val="clear" w:color="auto" w:fill="auto"/>
          </w:tcPr>
          <w:p w:rsidR="00F6791F" w:rsidRPr="008E7D59" w:rsidRDefault="00F6791F" w:rsidP="008E7D59">
            <w:pPr>
              <w:spacing w:before="60" w:after="60" w:line="240" w:lineRule="auto"/>
              <w:jc w:val="right"/>
              <w:rPr>
                <w:rFonts w:ascii="Arial" w:hAnsi="Arial" w:cs="Arial"/>
                <w:color w:val="000000"/>
                <w:szCs w:val="24"/>
                <w:lang w:val="en-US" w:eastAsia="ja-JP"/>
              </w:rPr>
            </w:pPr>
            <w:r w:rsidRPr="008E7D59">
              <w:rPr>
                <w:rFonts w:ascii="Arial" w:hAnsi="Arial" w:cs="Arial"/>
                <w:color w:val="000000"/>
                <w:szCs w:val="24"/>
                <w:lang w:val="en-US" w:eastAsia="ja-JP"/>
              </w:rPr>
              <w:t>R1</w:t>
            </w:r>
            <w:r w:rsidR="00DC4578" w:rsidRPr="008E7D59">
              <w:rPr>
                <w:rFonts w:ascii="Arial" w:hAnsi="Arial" w:cs="Arial"/>
                <w:color w:val="000000"/>
                <w:szCs w:val="24"/>
                <w:lang w:val="en-US" w:eastAsia="ja-JP"/>
              </w:rPr>
              <w:t xml:space="preserve"> </w:t>
            </w:r>
            <w:r w:rsidRPr="008E7D59">
              <w:rPr>
                <w:rFonts w:ascii="Arial" w:hAnsi="Arial" w:cs="Arial"/>
                <w:color w:val="000000"/>
                <w:szCs w:val="24"/>
                <w:lang w:val="en-US" w:eastAsia="ja-JP"/>
              </w:rPr>
              <w:t>999</w:t>
            </w:r>
            <w:r w:rsidR="00DC4578" w:rsidRPr="008E7D59">
              <w:rPr>
                <w:rFonts w:ascii="Arial" w:hAnsi="Arial" w:cs="Arial"/>
                <w:color w:val="000000"/>
                <w:szCs w:val="24"/>
                <w:lang w:val="en-US" w:eastAsia="ja-JP"/>
              </w:rPr>
              <w:t xml:space="preserve"> </w:t>
            </w:r>
            <w:r w:rsidRPr="008E7D59">
              <w:rPr>
                <w:rFonts w:ascii="Arial" w:hAnsi="Arial" w:cs="Arial"/>
                <w:color w:val="000000"/>
                <w:szCs w:val="24"/>
                <w:lang w:val="en-US" w:eastAsia="ja-JP"/>
              </w:rPr>
              <w:t xml:space="preserve">710 </w:t>
            </w:r>
          </w:p>
        </w:tc>
        <w:tc>
          <w:tcPr>
            <w:tcW w:w="1412" w:type="dxa"/>
            <w:shd w:val="clear" w:color="auto" w:fill="auto"/>
          </w:tcPr>
          <w:p w:rsidR="00F6791F" w:rsidRPr="008E7D59" w:rsidRDefault="00F6791F" w:rsidP="008E7D59">
            <w:pPr>
              <w:spacing w:before="60" w:after="60" w:line="240" w:lineRule="auto"/>
              <w:jc w:val="right"/>
              <w:rPr>
                <w:rFonts w:ascii="Arial" w:hAnsi="Arial" w:cs="Arial"/>
                <w:color w:val="000000"/>
                <w:szCs w:val="24"/>
                <w:lang w:val="en-US" w:eastAsia="ja-JP"/>
              </w:rPr>
            </w:pPr>
            <w:r w:rsidRPr="008E7D59">
              <w:rPr>
                <w:rFonts w:ascii="Arial" w:hAnsi="Arial" w:cs="Arial"/>
                <w:color w:val="000000"/>
                <w:szCs w:val="24"/>
                <w:lang w:val="en-US" w:eastAsia="ja-JP"/>
              </w:rPr>
              <w:t>R1</w:t>
            </w:r>
            <w:r w:rsidR="00DC4578" w:rsidRPr="008E7D59">
              <w:rPr>
                <w:rFonts w:ascii="Arial" w:hAnsi="Arial" w:cs="Arial"/>
                <w:color w:val="000000"/>
                <w:szCs w:val="24"/>
                <w:lang w:val="en-US" w:eastAsia="ja-JP"/>
              </w:rPr>
              <w:t xml:space="preserve"> </w:t>
            </w:r>
            <w:r w:rsidRPr="008E7D59">
              <w:rPr>
                <w:rFonts w:ascii="Arial" w:hAnsi="Arial" w:cs="Arial"/>
                <w:color w:val="000000"/>
                <w:szCs w:val="24"/>
                <w:lang w:val="en-US" w:eastAsia="ja-JP"/>
              </w:rPr>
              <w:t>253</w:t>
            </w:r>
            <w:r w:rsidR="00DC4578" w:rsidRPr="008E7D59">
              <w:rPr>
                <w:rFonts w:ascii="Arial" w:hAnsi="Arial" w:cs="Arial"/>
                <w:color w:val="000000"/>
                <w:szCs w:val="24"/>
                <w:lang w:val="en-US" w:eastAsia="ja-JP"/>
              </w:rPr>
              <w:t xml:space="preserve"> </w:t>
            </w:r>
            <w:r w:rsidRPr="008E7D59">
              <w:rPr>
                <w:rFonts w:ascii="Arial" w:hAnsi="Arial" w:cs="Arial"/>
                <w:color w:val="000000"/>
                <w:szCs w:val="24"/>
                <w:lang w:val="en-US" w:eastAsia="ja-JP"/>
              </w:rPr>
              <w:t xml:space="preserve">294 </w:t>
            </w:r>
          </w:p>
        </w:tc>
        <w:tc>
          <w:tcPr>
            <w:tcW w:w="1420" w:type="dxa"/>
            <w:shd w:val="clear" w:color="auto" w:fill="auto"/>
          </w:tcPr>
          <w:p w:rsidR="00F6791F" w:rsidRPr="008E7D59" w:rsidRDefault="00F6791F" w:rsidP="008E7D59">
            <w:pPr>
              <w:spacing w:before="60" w:after="60" w:line="240" w:lineRule="auto"/>
              <w:jc w:val="right"/>
              <w:rPr>
                <w:rFonts w:ascii="Arial" w:hAnsi="Arial" w:cs="Arial"/>
                <w:color w:val="000000"/>
                <w:szCs w:val="24"/>
                <w:lang w:val="en-US" w:eastAsia="ja-JP"/>
              </w:rPr>
            </w:pPr>
            <w:r w:rsidRPr="008E7D59">
              <w:rPr>
                <w:rFonts w:ascii="Arial" w:hAnsi="Arial" w:cs="Arial"/>
                <w:color w:val="000000"/>
                <w:szCs w:val="24"/>
                <w:lang w:val="en-US" w:eastAsia="ja-JP"/>
              </w:rPr>
              <w:t>R88</w:t>
            </w:r>
            <w:r w:rsidR="00DC4578" w:rsidRPr="008E7D59">
              <w:rPr>
                <w:rFonts w:ascii="Arial" w:hAnsi="Arial" w:cs="Arial"/>
                <w:color w:val="000000"/>
                <w:szCs w:val="24"/>
                <w:lang w:val="en-US" w:eastAsia="ja-JP"/>
              </w:rPr>
              <w:t xml:space="preserve"> </w:t>
            </w:r>
            <w:r w:rsidRPr="008E7D59">
              <w:rPr>
                <w:rFonts w:ascii="Arial" w:hAnsi="Arial" w:cs="Arial"/>
                <w:color w:val="000000"/>
                <w:szCs w:val="24"/>
                <w:lang w:val="en-US" w:eastAsia="ja-JP"/>
              </w:rPr>
              <w:t xml:space="preserve">113 </w:t>
            </w:r>
          </w:p>
        </w:tc>
        <w:tc>
          <w:tcPr>
            <w:tcW w:w="1557" w:type="dxa"/>
            <w:shd w:val="clear" w:color="auto" w:fill="auto"/>
          </w:tcPr>
          <w:p w:rsidR="00F6791F" w:rsidRPr="008E7D59" w:rsidRDefault="00F6791F" w:rsidP="008E7D59">
            <w:pPr>
              <w:spacing w:before="60" w:after="60" w:line="240" w:lineRule="auto"/>
              <w:jc w:val="right"/>
              <w:rPr>
                <w:rFonts w:ascii="Arial" w:hAnsi="Arial" w:cs="Arial"/>
                <w:color w:val="000000"/>
                <w:szCs w:val="24"/>
                <w:lang w:val="en-US" w:eastAsia="ja-JP"/>
              </w:rPr>
            </w:pPr>
            <w:r w:rsidRPr="008E7D59">
              <w:rPr>
                <w:rFonts w:ascii="Arial" w:hAnsi="Arial" w:cs="Arial"/>
                <w:color w:val="000000"/>
                <w:szCs w:val="24"/>
                <w:lang w:val="en-US" w:eastAsia="ja-JP"/>
              </w:rPr>
              <w:t>R686</w:t>
            </w:r>
            <w:r w:rsidR="00DC4578" w:rsidRPr="008E7D59">
              <w:rPr>
                <w:rFonts w:ascii="Arial" w:hAnsi="Arial" w:cs="Arial"/>
                <w:color w:val="000000"/>
                <w:szCs w:val="24"/>
                <w:lang w:val="en-US" w:eastAsia="ja-JP"/>
              </w:rPr>
              <w:t xml:space="preserve"> </w:t>
            </w:r>
            <w:r w:rsidRPr="008E7D59">
              <w:rPr>
                <w:rFonts w:ascii="Arial" w:hAnsi="Arial" w:cs="Arial"/>
                <w:color w:val="000000"/>
                <w:szCs w:val="24"/>
                <w:lang w:val="en-US" w:eastAsia="ja-JP"/>
              </w:rPr>
              <w:t xml:space="preserve">941 </w:t>
            </w:r>
          </w:p>
        </w:tc>
      </w:tr>
    </w:tbl>
    <w:p w:rsidR="000C37CB" w:rsidRPr="00323D70" w:rsidRDefault="00732CA9" w:rsidP="00B86423">
      <w:pPr>
        <w:pStyle w:val="ListParagraph"/>
        <w:numPr>
          <w:ilvl w:val="0"/>
          <w:numId w:val="39"/>
        </w:numPr>
        <w:spacing w:before="480" w:after="0" w:line="360" w:lineRule="auto"/>
        <w:ind w:left="850" w:right="6" w:hanging="425"/>
        <w:contextualSpacing w:val="0"/>
        <w:jc w:val="both"/>
        <w:rPr>
          <w:rFonts w:ascii="Arial" w:hAnsi="Arial" w:cs="Arial"/>
          <w:b/>
          <w:noProof/>
          <w:sz w:val="24"/>
          <w:szCs w:val="24"/>
          <w:lang w:val="af-ZA"/>
        </w:rPr>
      </w:pPr>
      <w:r>
        <w:rPr>
          <w:rFonts w:ascii="Arial" w:hAnsi="Arial" w:cs="Arial"/>
          <w:b/>
          <w:noProof/>
          <w:sz w:val="24"/>
          <w:szCs w:val="24"/>
          <w:lang w:val="af-ZA"/>
        </w:rPr>
        <w:t>Services SETA</w:t>
      </w:r>
      <w:r w:rsidR="00323D70">
        <w:rPr>
          <w:rFonts w:ascii="Arial" w:hAnsi="Arial" w:cs="Arial"/>
          <w:b/>
          <w:noProof/>
          <w:sz w:val="24"/>
          <w:szCs w:val="24"/>
          <w:lang w:val="af-ZA"/>
        </w:rPr>
        <w:t xml:space="preserve"> - </w:t>
      </w:r>
      <w:r w:rsidR="000C37CB" w:rsidRPr="00323D70">
        <w:rPr>
          <w:rFonts w:ascii="Arial" w:hAnsi="Arial" w:cs="Arial"/>
          <w:bCs/>
          <w:sz w:val="24"/>
          <w:szCs w:val="24"/>
        </w:rPr>
        <w:t>To ensure accountability of public funds</w:t>
      </w:r>
      <w:r w:rsidR="00C93B5C">
        <w:rPr>
          <w:rFonts w:ascii="Arial" w:hAnsi="Arial" w:cs="Arial"/>
          <w:bCs/>
          <w:sz w:val="24"/>
          <w:szCs w:val="24"/>
        </w:rPr>
        <w:t>,</w:t>
      </w:r>
      <w:r w:rsidR="000C37CB" w:rsidRPr="00323D70">
        <w:rPr>
          <w:rFonts w:ascii="Arial" w:hAnsi="Arial" w:cs="Arial"/>
          <w:bCs/>
          <w:sz w:val="24"/>
          <w:szCs w:val="24"/>
        </w:rPr>
        <w:t xml:space="preserve"> Services SETA adopted a performance based payment model. If invoices are submitted without the following documents, the</w:t>
      </w:r>
      <w:r w:rsidR="001D356D">
        <w:rPr>
          <w:rFonts w:ascii="Arial" w:hAnsi="Arial" w:cs="Arial"/>
          <w:bCs/>
          <w:sz w:val="24"/>
          <w:szCs w:val="24"/>
        </w:rPr>
        <w:t xml:space="preserve">y are declared </w:t>
      </w:r>
      <w:r>
        <w:rPr>
          <w:rFonts w:ascii="Arial" w:hAnsi="Arial" w:cs="Arial"/>
          <w:bCs/>
          <w:sz w:val="24"/>
          <w:szCs w:val="24"/>
        </w:rPr>
        <w:t>non-compliant</w:t>
      </w:r>
      <w:r w:rsidR="000C37CB" w:rsidRPr="00323D70">
        <w:rPr>
          <w:rFonts w:ascii="Arial" w:hAnsi="Arial" w:cs="Arial"/>
          <w:bCs/>
          <w:sz w:val="24"/>
          <w:szCs w:val="24"/>
        </w:rPr>
        <w:t>:</w:t>
      </w:r>
    </w:p>
    <w:p w:rsidR="000C37CB" w:rsidRPr="000A6F0E" w:rsidRDefault="000C37CB" w:rsidP="000A6F0E">
      <w:pPr>
        <w:pStyle w:val="CommentText"/>
        <w:numPr>
          <w:ilvl w:val="0"/>
          <w:numId w:val="29"/>
        </w:numPr>
        <w:spacing w:after="0" w:line="360" w:lineRule="auto"/>
        <w:ind w:left="1276" w:hanging="425"/>
        <w:jc w:val="both"/>
        <w:rPr>
          <w:rFonts w:ascii="Arial" w:hAnsi="Arial" w:cs="Arial"/>
          <w:sz w:val="24"/>
          <w:szCs w:val="24"/>
        </w:rPr>
      </w:pPr>
      <w:r w:rsidRPr="00EE4F7A">
        <w:rPr>
          <w:rFonts w:ascii="Arial" w:hAnsi="Arial" w:cs="Arial"/>
          <w:bCs/>
          <w:sz w:val="24"/>
          <w:szCs w:val="24"/>
        </w:rPr>
        <w:t xml:space="preserve">Approved </w:t>
      </w:r>
      <w:r w:rsidRPr="000A6F0E">
        <w:rPr>
          <w:rFonts w:ascii="Arial" w:hAnsi="Arial" w:cs="Arial"/>
          <w:sz w:val="24"/>
          <w:szCs w:val="24"/>
        </w:rPr>
        <w:t>budget</w:t>
      </w:r>
      <w:r w:rsidR="00732CA9">
        <w:rPr>
          <w:rFonts w:ascii="Arial" w:hAnsi="Arial" w:cs="Arial"/>
          <w:sz w:val="24"/>
          <w:szCs w:val="24"/>
        </w:rPr>
        <w:t>;</w:t>
      </w:r>
    </w:p>
    <w:p w:rsidR="000C37CB" w:rsidRPr="000A6F0E" w:rsidRDefault="000C37CB" w:rsidP="000A6F0E">
      <w:pPr>
        <w:pStyle w:val="CommentText"/>
        <w:numPr>
          <w:ilvl w:val="0"/>
          <w:numId w:val="29"/>
        </w:numPr>
        <w:spacing w:after="0" w:line="360" w:lineRule="auto"/>
        <w:ind w:left="1276" w:hanging="425"/>
        <w:jc w:val="both"/>
        <w:rPr>
          <w:rFonts w:ascii="Arial" w:hAnsi="Arial" w:cs="Arial"/>
          <w:sz w:val="24"/>
          <w:szCs w:val="24"/>
        </w:rPr>
      </w:pPr>
      <w:r w:rsidRPr="000A6F0E">
        <w:rPr>
          <w:rFonts w:ascii="Arial" w:hAnsi="Arial" w:cs="Arial"/>
          <w:sz w:val="24"/>
          <w:szCs w:val="24"/>
        </w:rPr>
        <w:t>Commencement letter</w:t>
      </w:r>
      <w:r w:rsidR="00732CA9">
        <w:rPr>
          <w:rFonts w:ascii="Arial" w:hAnsi="Arial" w:cs="Arial"/>
          <w:sz w:val="24"/>
          <w:szCs w:val="24"/>
        </w:rPr>
        <w:t>; and</w:t>
      </w:r>
    </w:p>
    <w:p w:rsidR="000C37CB" w:rsidRPr="00EE4F7A" w:rsidRDefault="000C37CB" w:rsidP="000A6F0E">
      <w:pPr>
        <w:pStyle w:val="CommentText"/>
        <w:numPr>
          <w:ilvl w:val="0"/>
          <w:numId w:val="29"/>
        </w:numPr>
        <w:spacing w:after="0" w:line="360" w:lineRule="auto"/>
        <w:ind w:left="1276" w:hanging="425"/>
        <w:jc w:val="both"/>
        <w:rPr>
          <w:rFonts w:ascii="Arial" w:hAnsi="Arial" w:cs="Arial"/>
          <w:bCs/>
          <w:sz w:val="24"/>
          <w:szCs w:val="24"/>
        </w:rPr>
      </w:pPr>
      <w:r w:rsidRPr="000A6F0E">
        <w:rPr>
          <w:rFonts w:ascii="Arial" w:hAnsi="Arial" w:cs="Arial"/>
          <w:sz w:val="24"/>
          <w:szCs w:val="24"/>
        </w:rPr>
        <w:t>Supporting documents</w:t>
      </w:r>
      <w:r w:rsidRPr="00EE4F7A">
        <w:rPr>
          <w:rFonts w:ascii="Arial" w:hAnsi="Arial" w:cs="Arial"/>
          <w:bCs/>
          <w:sz w:val="24"/>
          <w:szCs w:val="24"/>
        </w:rPr>
        <w:t xml:space="preserve"> for claims</w:t>
      </w:r>
      <w:r w:rsidR="001D356D">
        <w:rPr>
          <w:rFonts w:ascii="Arial" w:hAnsi="Arial" w:cs="Arial"/>
          <w:bCs/>
          <w:sz w:val="24"/>
          <w:szCs w:val="24"/>
        </w:rPr>
        <w:t>.</w:t>
      </w:r>
    </w:p>
    <w:p w:rsidR="00BA2FD9" w:rsidRPr="000A6F0E" w:rsidRDefault="00192ED1" w:rsidP="00BA6814">
      <w:pPr>
        <w:pStyle w:val="ListParagraph"/>
        <w:numPr>
          <w:ilvl w:val="0"/>
          <w:numId w:val="39"/>
        </w:numPr>
        <w:spacing w:before="240" w:after="240" w:line="360" w:lineRule="auto"/>
        <w:ind w:left="850" w:right="6" w:hanging="425"/>
        <w:contextualSpacing w:val="0"/>
        <w:jc w:val="both"/>
        <w:rPr>
          <w:rFonts w:ascii="Arial" w:hAnsi="Arial" w:cs="Arial"/>
          <w:b/>
          <w:bCs/>
          <w:sz w:val="24"/>
          <w:szCs w:val="24"/>
        </w:rPr>
      </w:pPr>
      <w:r w:rsidRPr="00EE4F7A">
        <w:rPr>
          <w:rFonts w:ascii="Arial" w:hAnsi="Arial" w:cs="Arial"/>
          <w:bCs/>
          <w:sz w:val="24"/>
          <w:szCs w:val="24"/>
        </w:rPr>
        <w:t>Services SETA regularly follow</w:t>
      </w:r>
      <w:r w:rsidR="00732CA9">
        <w:rPr>
          <w:rFonts w:ascii="Arial" w:hAnsi="Arial" w:cs="Arial"/>
          <w:bCs/>
          <w:sz w:val="24"/>
          <w:szCs w:val="24"/>
        </w:rPr>
        <w:t>s</w:t>
      </w:r>
      <w:r w:rsidRPr="00EE4F7A">
        <w:rPr>
          <w:rFonts w:ascii="Arial" w:hAnsi="Arial" w:cs="Arial"/>
          <w:bCs/>
          <w:sz w:val="24"/>
          <w:szCs w:val="24"/>
        </w:rPr>
        <w:t xml:space="preserve"> up on non</w:t>
      </w:r>
      <w:r w:rsidR="00732CA9">
        <w:rPr>
          <w:rFonts w:ascii="Arial" w:hAnsi="Arial" w:cs="Arial"/>
          <w:bCs/>
          <w:sz w:val="24"/>
          <w:szCs w:val="24"/>
        </w:rPr>
        <w:t>-compliant</w:t>
      </w:r>
      <w:r w:rsidRPr="00EE4F7A">
        <w:rPr>
          <w:rFonts w:ascii="Arial" w:hAnsi="Arial" w:cs="Arial"/>
          <w:bCs/>
          <w:sz w:val="24"/>
          <w:szCs w:val="24"/>
        </w:rPr>
        <w:t xml:space="preserve"> invoices, conducting</w:t>
      </w:r>
      <w:r w:rsidRPr="00EE4F7A">
        <w:rPr>
          <w:rFonts w:ascii="Arial" w:hAnsi="Arial" w:cs="Arial"/>
          <w:b/>
          <w:bCs/>
          <w:sz w:val="24"/>
          <w:szCs w:val="24"/>
        </w:rPr>
        <w:t xml:space="preserve"> </w:t>
      </w:r>
      <w:r w:rsidR="00EC470C">
        <w:rPr>
          <w:rFonts w:ascii="Arial" w:hAnsi="Arial" w:cs="Arial"/>
          <w:bCs/>
          <w:sz w:val="24"/>
          <w:szCs w:val="24"/>
        </w:rPr>
        <w:t>capacitation workshops and has</w:t>
      </w:r>
      <w:r w:rsidRPr="00EE4F7A">
        <w:rPr>
          <w:rFonts w:ascii="Arial" w:hAnsi="Arial" w:cs="Arial"/>
          <w:bCs/>
          <w:sz w:val="24"/>
          <w:szCs w:val="24"/>
        </w:rPr>
        <w:t xml:space="preserve"> published the payment guidelines on </w:t>
      </w:r>
      <w:r w:rsidR="00732CA9">
        <w:rPr>
          <w:rFonts w:ascii="Arial" w:hAnsi="Arial" w:cs="Arial"/>
          <w:bCs/>
          <w:sz w:val="24"/>
          <w:szCs w:val="24"/>
        </w:rPr>
        <w:t>its</w:t>
      </w:r>
      <w:r w:rsidRPr="00EE4F7A">
        <w:rPr>
          <w:rFonts w:ascii="Arial" w:hAnsi="Arial" w:cs="Arial"/>
          <w:bCs/>
          <w:sz w:val="24"/>
          <w:szCs w:val="24"/>
        </w:rPr>
        <w:t xml:space="preserve"> website</w:t>
      </w:r>
      <w:r w:rsidR="00CB3E8E" w:rsidRPr="00EE4F7A">
        <w:rPr>
          <w:rFonts w:ascii="Arial" w:hAnsi="Arial" w:cs="Arial"/>
          <w:bCs/>
          <w:sz w:val="24"/>
          <w:szCs w:val="24"/>
        </w:rPr>
        <w:t>.</w:t>
      </w:r>
      <w:r w:rsidRPr="00EE4F7A">
        <w:rPr>
          <w:rFonts w:ascii="Arial" w:hAnsi="Arial" w:cs="Arial"/>
          <w:bCs/>
          <w:sz w:val="24"/>
          <w:szCs w:val="24"/>
        </w:rPr>
        <w:t xml:space="preserve"> </w:t>
      </w:r>
      <w:r w:rsidRPr="000A6F0E">
        <w:rPr>
          <w:rFonts w:ascii="Arial" w:hAnsi="Arial" w:cs="Arial"/>
          <w:bCs/>
          <w:sz w:val="24"/>
          <w:szCs w:val="24"/>
        </w:rPr>
        <w:t xml:space="preserve">Despite these efforts, training providers continue to submit non-compliant invoices. The majority of </w:t>
      </w:r>
      <w:r w:rsidR="001D356D">
        <w:rPr>
          <w:rFonts w:ascii="Arial" w:hAnsi="Arial" w:cs="Arial"/>
          <w:bCs/>
          <w:sz w:val="24"/>
          <w:szCs w:val="24"/>
        </w:rPr>
        <w:t xml:space="preserve">these non-compliant </w:t>
      </w:r>
      <w:r w:rsidRPr="000A6F0E">
        <w:rPr>
          <w:rFonts w:ascii="Arial" w:hAnsi="Arial" w:cs="Arial"/>
          <w:bCs/>
          <w:sz w:val="24"/>
          <w:szCs w:val="24"/>
        </w:rPr>
        <w:t xml:space="preserve">invoices </w:t>
      </w:r>
      <w:r w:rsidR="001D356D">
        <w:rPr>
          <w:rFonts w:ascii="Arial" w:hAnsi="Arial" w:cs="Arial"/>
          <w:bCs/>
          <w:sz w:val="24"/>
          <w:szCs w:val="24"/>
        </w:rPr>
        <w:t xml:space="preserve">are </w:t>
      </w:r>
      <w:r w:rsidRPr="000A6F0E">
        <w:rPr>
          <w:rFonts w:ascii="Arial" w:hAnsi="Arial" w:cs="Arial"/>
          <w:bCs/>
          <w:sz w:val="24"/>
          <w:szCs w:val="24"/>
        </w:rPr>
        <w:t>submitted during the start-up phases of the projects</w:t>
      </w:r>
      <w:r w:rsidR="001D356D">
        <w:rPr>
          <w:rFonts w:ascii="Arial" w:hAnsi="Arial" w:cs="Arial"/>
          <w:bCs/>
          <w:sz w:val="24"/>
          <w:szCs w:val="24"/>
        </w:rPr>
        <w:t xml:space="preserve">, </w:t>
      </w:r>
      <w:r w:rsidRPr="000A6F0E">
        <w:rPr>
          <w:rFonts w:ascii="Arial" w:hAnsi="Arial" w:cs="Arial"/>
          <w:bCs/>
          <w:sz w:val="24"/>
          <w:szCs w:val="24"/>
        </w:rPr>
        <w:t>subsequent to new allocations</w:t>
      </w:r>
      <w:r w:rsidR="001D356D">
        <w:rPr>
          <w:rFonts w:ascii="Arial" w:hAnsi="Arial" w:cs="Arial"/>
          <w:bCs/>
          <w:sz w:val="24"/>
          <w:szCs w:val="24"/>
        </w:rPr>
        <w:t xml:space="preserve"> and</w:t>
      </w:r>
      <w:r w:rsidRPr="000A6F0E">
        <w:rPr>
          <w:rFonts w:ascii="Arial" w:hAnsi="Arial" w:cs="Arial"/>
          <w:bCs/>
          <w:sz w:val="24"/>
          <w:szCs w:val="24"/>
        </w:rPr>
        <w:t xml:space="preserve"> </w:t>
      </w:r>
      <w:r w:rsidR="001D356D">
        <w:rPr>
          <w:rFonts w:ascii="Arial" w:hAnsi="Arial" w:cs="Arial"/>
          <w:bCs/>
          <w:sz w:val="24"/>
          <w:szCs w:val="24"/>
        </w:rPr>
        <w:t xml:space="preserve">with </w:t>
      </w:r>
      <w:r w:rsidRPr="000A6F0E">
        <w:rPr>
          <w:rFonts w:ascii="Arial" w:hAnsi="Arial" w:cs="Arial"/>
          <w:bCs/>
          <w:sz w:val="24"/>
          <w:szCs w:val="24"/>
        </w:rPr>
        <w:t xml:space="preserve">some </w:t>
      </w:r>
      <w:r w:rsidR="00BB40C2">
        <w:rPr>
          <w:rFonts w:ascii="Arial" w:hAnsi="Arial" w:cs="Arial"/>
          <w:bCs/>
          <w:sz w:val="24"/>
          <w:szCs w:val="24"/>
        </w:rPr>
        <w:t>providers</w:t>
      </w:r>
      <w:r w:rsidRPr="000A6F0E">
        <w:rPr>
          <w:rFonts w:ascii="Arial" w:hAnsi="Arial" w:cs="Arial"/>
          <w:bCs/>
          <w:sz w:val="24"/>
          <w:szCs w:val="24"/>
        </w:rPr>
        <w:t xml:space="preserve"> </w:t>
      </w:r>
      <w:r w:rsidR="001D356D" w:rsidRPr="000A6F0E">
        <w:rPr>
          <w:rFonts w:ascii="Arial" w:hAnsi="Arial" w:cs="Arial"/>
          <w:bCs/>
          <w:sz w:val="24"/>
          <w:szCs w:val="24"/>
        </w:rPr>
        <w:t>submit</w:t>
      </w:r>
      <w:r w:rsidR="001D356D">
        <w:rPr>
          <w:rFonts w:ascii="Arial" w:hAnsi="Arial" w:cs="Arial"/>
          <w:bCs/>
          <w:sz w:val="24"/>
          <w:szCs w:val="24"/>
        </w:rPr>
        <w:t xml:space="preserve">ting documentation without </w:t>
      </w:r>
      <w:r w:rsidRPr="000A6F0E">
        <w:rPr>
          <w:rFonts w:ascii="Arial" w:hAnsi="Arial" w:cs="Arial"/>
          <w:bCs/>
          <w:sz w:val="24"/>
          <w:szCs w:val="24"/>
        </w:rPr>
        <w:t xml:space="preserve">actual training having being provided. </w:t>
      </w:r>
    </w:p>
    <w:p w:rsidR="00BA2FD9" w:rsidRPr="00EE4F7A" w:rsidRDefault="00B86423" w:rsidP="00B86423">
      <w:pPr>
        <w:pStyle w:val="ListParagraph"/>
        <w:numPr>
          <w:ilvl w:val="0"/>
          <w:numId w:val="39"/>
        </w:numPr>
        <w:spacing w:after="240" w:line="360" w:lineRule="auto"/>
        <w:ind w:left="850" w:right="6" w:hanging="425"/>
        <w:contextualSpacing w:val="0"/>
        <w:jc w:val="both"/>
        <w:rPr>
          <w:rFonts w:ascii="Arial" w:hAnsi="Arial" w:cs="Arial"/>
          <w:sz w:val="24"/>
          <w:szCs w:val="24"/>
        </w:rPr>
      </w:pPr>
      <w:r>
        <w:rPr>
          <w:rFonts w:ascii="Arial" w:hAnsi="Arial" w:cs="Arial"/>
          <w:sz w:val="24"/>
          <w:szCs w:val="24"/>
        </w:rPr>
        <w:lastRenderedPageBreak/>
        <w:t xml:space="preserve">The </w:t>
      </w:r>
      <w:r w:rsidRPr="00EE4F7A">
        <w:rPr>
          <w:rFonts w:ascii="Arial" w:hAnsi="Arial" w:cs="Arial"/>
          <w:sz w:val="24"/>
          <w:szCs w:val="24"/>
        </w:rPr>
        <w:t xml:space="preserve">current </w:t>
      </w:r>
      <w:r w:rsidR="00732CA9">
        <w:rPr>
          <w:rFonts w:ascii="Arial" w:hAnsi="Arial" w:cs="Arial"/>
          <w:sz w:val="24"/>
          <w:szCs w:val="24"/>
        </w:rPr>
        <w:t xml:space="preserve">age analysis for unpaid invoices </w:t>
      </w:r>
      <w:r w:rsidR="00EC470C">
        <w:rPr>
          <w:rFonts w:ascii="Arial" w:hAnsi="Arial" w:cs="Arial"/>
          <w:sz w:val="24"/>
          <w:szCs w:val="24"/>
        </w:rPr>
        <w:t>is</w:t>
      </w:r>
      <w:r>
        <w:rPr>
          <w:rFonts w:ascii="Arial" w:hAnsi="Arial" w:cs="Arial"/>
          <w:sz w:val="24"/>
          <w:szCs w:val="24"/>
        </w:rPr>
        <w:t xml:space="preserve"> provided below:</w:t>
      </w:r>
    </w:p>
    <w:tbl>
      <w:tblPr>
        <w:tblStyle w:val="TableGrid"/>
        <w:tblW w:w="8930" w:type="dxa"/>
        <w:tblInd w:w="421" w:type="dxa"/>
        <w:tblLook w:val="04A0" w:firstRow="1" w:lastRow="0" w:firstColumn="1" w:lastColumn="0" w:noHBand="0" w:noVBand="1"/>
      </w:tblPr>
      <w:tblGrid>
        <w:gridCol w:w="1427"/>
        <w:gridCol w:w="1975"/>
        <w:gridCol w:w="1842"/>
        <w:gridCol w:w="1845"/>
        <w:gridCol w:w="1841"/>
      </w:tblGrid>
      <w:tr w:rsidR="00BA2FD9" w:rsidRPr="00EE4F7A" w:rsidTr="001D356D">
        <w:tc>
          <w:tcPr>
            <w:tcW w:w="1427" w:type="dxa"/>
            <w:shd w:val="clear" w:color="auto" w:fill="auto"/>
          </w:tcPr>
          <w:p w:rsidR="00BA2FD9" w:rsidRPr="000A6F0E" w:rsidRDefault="00BA2FD9" w:rsidP="000A6F0E">
            <w:pPr>
              <w:pStyle w:val="Default"/>
              <w:spacing w:before="60" w:after="60"/>
              <w:jc w:val="center"/>
              <w:rPr>
                <w:b/>
                <w:sz w:val="22"/>
              </w:rPr>
            </w:pPr>
            <w:r w:rsidRPr="000A6F0E">
              <w:rPr>
                <w:b/>
                <w:sz w:val="22"/>
              </w:rPr>
              <w:t>Description</w:t>
            </w:r>
          </w:p>
        </w:tc>
        <w:tc>
          <w:tcPr>
            <w:tcW w:w="1975" w:type="dxa"/>
            <w:shd w:val="clear" w:color="auto" w:fill="auto"/>
          </w:tcPr>
          <w:p w:rsidR="00BA2FD9" w:rsidRPr="000A6F0E" w:rsidRDefault="00BA2FD9" w:rsidP="000A6F0E">
            <w:pPr>
              <w:pStyle w:val="Default"/>
              <w:spacing w:before="60" w:after="60"/>
              <w:jc w:val="center"/>
              <w:rPr>
                <w:b/>
                <w:sz w:val="22"/>
              </w:rPr>
            </w:pPr>
            <w:r w:rsidRPr="000A6F0E">
              <w:rPr>
                <w:b/>
                <w:sz w:val="22"/>
              </w:rPr>
              <w:t>31 to 60 days</w:t>
            </w:r>
          </w:p>
        </w:tc>
        <w:tc>
          <w:tcPr>
            <w:tcW w:w="1842" w:type="dxa"/>
            <w:shd w:val="clear" w:color="auto" w:fill="auto"/>
          </w:tcPr>
          <w:p w:rsidR="00BA2FD9" w:rsidRPr="000A6F0E" w:rsidRDefault="00BA2FD9" w:rsidP="000A6F0E">
            <w:pPr>
              <w:pStyle w:val="Default"/>
              <w:spacing w:before="60" w:after="60"/>
              <w:jc w:val="center"/>
              <w:rPr>
                <w:b/>
                <w:sz w:val="22"/>
              </w:rPr>
            </w:pPr>
            <w:r w:rsidRPr="000A6F0E">
              <w:rPr>
                <w:b/>
                <w:sz w:val="22"/>
              </w:rPr>
              <w:t>61 to 90 days</w:t>
            </w:r>
          </w:p>
        </w:tc>
        <w:tc>
          <w:tcPr>
            <w:tcW w:w="1845" w:type="dxa"/>
            <w:shd w:val="clear" w:color="auto" w:fill="auto"/>
          </w:tcPr>
          <w:p w:rsidR="00BA2FD9" w:rsidRPr="000A6F0E" w:rsidRDefault="00BA2FD9" w:rsidP="000A6F0E">
            <w:pPr>
              <w:pStyle w:val="Default"/>
              <w:spacing w:before="60" w:after="60"/>
              <w:jc w:val="center"/>
              <w:rPr>
                <w:b/>
                <w:sz w:val="22"/>
              </w:rPr>
            </w:pPr>
            <w:r w:rsidRPr="000A6F0E">
              <w:rPr>
                <w:b/>
                <w:sz w:val="22"/>
              </w:rPr>
              <w:t>91 to 120 days</w:t>
            </w:r>
          </w:p>
        </w:tc>
        <w:tc>
          <w:tcPr>
            <w:tcW w:w="1841" w:type="dxa"/>
            <w:shd w:val="clear" w:color="auto" w:fill="auto"/>
          </w:tcPr>
          <w:p w:rsidR="00BA2FD9" w:rsidRPr="000A6F0E" w:rsidRDefault="00BA2FD9" w:rsidP="000A6F0E">
            <w:pPr>
              <w:pStyle w:val="Default"/>
              <w:spacing w:before="60" w:after="60"/>
              <w:jc w:val="center"/>
              <w:rPr>
                <w:b/>
                <w:sz w:val="22"/>
              </w:rPr>
            </w:pPr>
            <w:r w:rsidRPr="000A6F0E">
              <w:rPr>
                <w:b/>
                <w:sz w:val="22"/>
              </w:rPr>
              <w:t>Over 120 days</w:t>
            </w:r>
          </w:p>
        </w:tc>
      </w:tr>
      <w:tr w:rsidR="00BA2FD9" w:rsidRPr="00EE4F7A" w:rsidTr="001D356D">
        <w:tc>
          <w:tcPr>
            <w:tcW w:w="1427" w:type="dxa"/>
            <w:shd w:val="clear" w:color="auto" w:fill="auto"/>
          </w:tcPr>
          <w:p w:rsidR="00BA2FD9" w:rsidRPr="000A6F0E" w:rsidRDefault="00BA2FD9" w:rsidP="000A6F0E">
            <w:pPr>
              <w:pStyle w:val="Default"/>
              <w:spacing w:before="60" w:after="60"/>
              <w:jc w:val="center"/>
              <w:rPr>
                <w:sz w:val="22"/>
              </w:rPr>
            </w:pPr>
            <w:r w:rsidRPr="000A6F0E">
              <w:rPr>
                <w:sz w:val="22"/>
              </w:rPr>
              <w:t xml:space="preserve">Number </w:t>
            </w:r>
          </w:p>
        </w:tc>
        <w:tc>
          <w:tcPr>
            <w:tcW w:w="1975" w:type="dxa"/>
            <w:shd w:val="clear" w:color="auto" w:fill="auto"/>
          </w:tcPr>
          <w:p w:rsidR="00BA2FD9" w:rsidRPr="000A6F0E" w:rsidRDefault="00BA2FD9" w:rsidP="000A6F0E">
            <w:pPr>
              <w:spacing w:before="60" w:after="60" w:line="240" w:lineRule="auto"/>
              <w:jc w:val="center"/>
              <w:rPr>
                <w:rFonts w:ascii="Arial" w:hAnsi="Arial" w:cs="Arial"/>
                <w:color w:val="000000"/>
                <w:szCs w:val="24"/>
                <w:lang w:val="en-US" w:eastAsia="ja-JP"/>
              </w:rPr>
            </w:pPr>
            <w:r w:rsidRPr="000A6F0E">
              <w:rPr>
                <w:rFonts w:ascii="Arial" w:hAnsi="Arial" w:cs="Arial"/>
                <w:color w:val="000000"/>
                <w:szCs w:val="24"/>
                <w:lang w:val="en-US" w:eastAsia="ja-JP"/>
              </w:rPr>
              <w:t>133</w:t>
            </w:r>
          </w:p>
        </w:tc>
        <w:tc>
          <w:tcPr>
            <w:tcW w:w="1842" w:type="dxa"/>
            <w:shd w:val="clear" w:color="auto" w:fill="auto"/>
          </w:tcPr>
          <w:p w:rsidR="00BA2FD9" w:rsidRPr="000A6F0E" w:rsidRDefault="00BA2FD9" w:rsidP="000A6F0E">
            <w:pPr>
              <w:pStyle w:val="Default"/>
              <w:spacing w:before="60" w:after="60"/>
              <w:jc w:val="center"/>
              <w:rPr>
                <w:sz w:val="22"/>
              </w:rPr>
            </w:pPr>
            <w:r w:rsidRPr="000A6F0E">
              <w:rPr>
                <w:sz w:val="22"/>
              </w:rPr>
              <w:t>140</w:t>
            </w:r>
          </w:p>
        </w:tc>
        <w:tc>
          <w:tcPr>
            <w:tcW w:w="1845" w:type="dxa"/>
            <w:shd w:val="clear" w:color="auto" w:fill="auto"/>
          </w:tcPr>
          <w:p w:rsidR="00BA2FD9" w:rsidRPr="000A6F0E" w:rsidRDefault="00BA2FD9" w:rsidP="000A6F0E">
            <w:pPr>
              <w:pStyle w:val="Default"/>
              <w:spacing w:before="60" w:after="60"/>
              <w:jc w:val="center"/>
              <w:rPr>
                <w:sz w:val="22"/>
              </w:rPr>
            </w:pPr>
            <w:r w:rsidRPr="000A6F0E">
              <w:rPr>
                <w:sz w:val="22"/>
              </w:rPr>
              <w:t>54</w:t>
            </w:r>
          </w:p>
        </w:tc>
        <w:tc>
          <w:tcPr>
            <w:tcW w:w="1841" w:type="dxa"/>
            <w:shd w:val="clear" w:color="auto" w:fill="auto"/>
          </w:tcPr>
          <w:p w:rsidR="00BA2FD9" w:rsidRPr="000A6F0E" w:rsidRDefault="00BA2FD9" w:rsidP="000A6F0E">
            <w:pPr>
              <w:pStyle w:val="Default"/>
              <w:spacing w:before="60" w:after="60"/>
              <w:jc w:val="center"/>
              <w:rPr>
                <w:sz w:val="22"/>
              </w:rPr>
            </w:pPr>
            <w:r w:rsidRPr="000A6F0E">
              <w:rPr>
                <w:sz w:val="22"/>
              </w:rPr>
              <w:t>167</w:t>
            </w:r>
          </w:p>
        </w:tc>
      </w:tr>
      <w:tr w:rsidR="00BA2FD9" w:rsidRPr="00EE4F7A" w:rsidTr="001D356D">
        <w:tc>
          <w:tcPr>
            <w:tcW w:w="1427" w:type="dxa"/>
            <w:shd w:val="clear" w:color="auto" w:fill="auto"/>
          </w:tcPr>
          <w:p w:rsidR="00BA2FD9" w:rsidRPr="000A6F0E" w:rsidRDefault="00BA2FD9" w:rsidP="000A6F0E">
            <w:pPr>
              <w:pStyle w:val="Default"/>
              <w:spacing w:before="60" w:after="60"/>
              <w:jc w:val="center"/>
              <w:rPr>
                <w:sz w:val="22"/>
              </w:rPr>
            </w:pPr>
            <w:r w:rsidRPr="000A6F0E">
              <w:rPr>
                <w:sz w:val="22"/>
              </w:rPr>
              <w:t>Amount</w:t>
            </w:r>
          </w:p>
        </w:tc>
        <w:tc>
          <w:tcPr>
            <w:tcW w:w="1975" w:type="dxa"/>
            <w:shd w:val="clear" w:color="auto" w:fill="auto"/>
          </w:tcPr>
          <w:p w:rsidR="00BA2FD9" w:rsidRPr="000A6F0E" w:rsidRDefault="00BA2FD9" w:rsidP="000A6F0E">
            <w:pPr>
              <w:pStyle w:val="Default"/>
              <w:spacing w:before="60" w:after="60"/>
              <w:jc w:val="center"/>
              <w:rPr>
                <w:sz w:val="22"/>
              </w:rPr>
            </w:pPr>
            <w:r w:rsidRPr="000A6F0E">
              <w:rPr>
                <w:sz w:val="22"/>
              </w:rPr>
              <w:t>R7 490 891.16</w:t>
            </w:r>
          </w:p>
        </w:tc>
        <w:tc>
          <w:tcPr>
            <w:tcW w:w="1842" w:type="dxa"/>
            <w:shd w:val="clear" w:color="auto" w:fill="auto"/>
          </w:tcPr>
          <w:p w:rsidR="00BA2FD9" w:rsidRPr="000A6F0E" w:rsidRDefault="00BA2FD9" w:rsidP="000A6F0E">
            <w:pPr>
              <w:pStyle w:val="Default"/>
              <w:spacing w:before="60" w:after="60"/>
              <w:jc w:val="center"/>
              <w:rPr>
                <w:sz w:val="22"/>
              </w:rPr>
            </w:pPr>
            <w:r w:rsidRPr="000A6F0E">
              <w:rPr>
                <w:sz w:val="22"/>
              </w:rPr>
              <w:t>R5 309 333.17</w:t>
            </w:r>
          </w:p>
        </w:tc>
        <w:tc>
          <w:tcPr>
            <w:tcW w:w="1845" w:type="dxa"/>
            <w:shd w:val="clear" w:color="auto" w:fill="auto"/>
          </w:tcPr>
          <w:p w:rsidR="00BA2FD9" w:rsidRPr="000A6F0E" w:rsidRDefault="00BA2FD9" w:rsidP="000A6F0E">
            <w:pPr>
              <w:pStyle w:val="Default"/>
              <w:spacing w:before="60" w:after="60"/>
              <w:jc w:val="center"/>
              <w:rPr>
                <w:sz w:val="22"/>
              </w:rPr>
            </w:pPr>
            <w:r w:rsidRPr="000A6F0E">
              <w:rPr>
                <w:sz w:val="22"/>
              </w:rPr>
              <w:t>R3 486 408.30</w:t>
            </w:r>
          </w:p>
        </w:tc>
        <w:tc>
          <w:tcPr>
            <w:tcW w:w="1841" w:type="dxa"/>
            <w:shd w:val="clear" w:color="auto" w:fill="auto"/>
          </w:tcPr>
          <w:p w:rsidR="00BA2FD9" w:rsidRPr="000A6F0E" w:rsidRDefault="00BA2FD9" w:rsidP="000A6F0E">
            <w:pPr>
              <w:pStyle w:val="Default"/>
              <w:spacing w:before="60" w:after="60"/>
              <w:jc w:val="center"/>
              <w:rPr>
                <w:sz w:val="22"/>
              </w:rPr>
            </w:pPr>
            <w:r w:rsidRPr="000A6F0E">
              <w:rPr>
                <w:sz w:val="22"/>
              </w:rPr>
              <w:t>R23 912 187.70</w:t>
            </w:r>
          </w:p>
        </w:tc>
      </w:tr>
    </w:tbl>
    <w:p w:rsidR="000A6F0E" w:rsidRPr="000A6F0E" w:rsidRDefault="007E3E8D" w:rsidP="00B86423">
      <w:pPr>
        <w:pStyle w:val="ListParagraph"/>
        <w:numPr>
          <w:ilvl w:val="0"/>
          <w:numId w:val="40"/>
        </w:numPr>
        <w:spacing w:before="480" w:after="240" w:line="360" w:lineRule="auto"/>
        <w:ind w:left="850" w:hanging="425"/>
        <w:contextualSpacing w:val="0"/>
        <w:jc w:val="both"/>
        <w:rPr>
          <w:rFonts w:ascii="Arial" w:hAnsi="Arial" w:cs="Arial"/>
          <w:b/>
          <w:noProof/>
          <w:sz w:val="24"/>
          <w:szCs w:val="24"/>
          <w:lang w:val="af-ZA"/>
        </w:rPr>
      </w:pPr>
      <w:r w:rsidRPr="000A6F0E">
        <w:rPr>
          <w:rFonts w:ascii="Arial" w:hAnsi="Arial" w:cs="Arial"/>
          <w:b/>
          <w:noProof/>
          <w:sz w:val="24"/>
          <w:szCs w:val="24"/>
          <w:lang w:val="af-ZA"/>
        </w:rPr>
        <w:t>S</w:t>
      </w:r>
      <w:r w:rsidR="00A82043" w:rsidRPr="000A6F0E">
        <w:rPr>
          <w:rFonts w:ascii="Arial" w:hAnsi="Arial" w:cs="Arial"/>
          <w:b/>
          <w:noProof/>
          <w:sz w:val="24"/>
          <w:szCs w:val="24"/>
          <w:lang w:val="af-ZA"/>
        </w:rPr>
        <w:t xml:space="preserve">outh </w:t>
      </w:r>
      <w:r w:rsidRPr="000A6F0E">
        <w:rPr>
          <w:rFonts w:ascii="Arial" w:hAnsi="Arial" w:cs="Arial"/>
          <w:b/>
          <w:noProof/>
          <w:sz w:val="24"/>
          <w:szCs w:val="24"/>
          <w:lang w:val="af-ZA"/>
        </w:rPr>
        <w:t>A</w:t>
      </w:r>
      <w:r w:rsidR="00A82043" w:rsidRPr="000A6F0E">
        <w:rPr>
          <w:rFonts w:ascii="Arial" w:hAnsi="Arial" w:cs="Arial"/>
          <w:b/>
          <w:noProof/>
          <w:sz w:val="24"/>
          <w:szCs w:val="24"/>
          <w:lang w:val="af-ZA"/>
        </w:rPr>
        <w:t xml:space="preserve">frican </w:t>
      </w:r>
      <w:r w:rsidRPr="000A6F0E">
        <w:rPr>
          <w:rFonts w:ascii="Arial" w:hAnsi="Arial" w:cs="Arial"/>
          <w:b/>
          <w:noProof/>
          <w:sz w:val="24"/>
          <w:szCs w:val="24"/>
          <w:lang w:val="af-ZA"/>
        </w:rPr>
        <w:t>Q</w:t>
      </w:r>
      <w:r w:rsidR="00A82043" w:rsidRPr="000A6F0E">
        <w:rPr>
          <w:rFonts w:ascii="Arial" w:hAnsi="Arial" w:cs="Arial"/>
          <w:b/>
          <w:noProof/>
          <w:sz w:val="24"/>
          <w:szCs w:val="24"/>
          <w:lang w:val="af-ZA"/>
        </w:rPr>
        <w:t>ualification</w:t>
      </w:r>
      <w:r w:rsidR="00DC4578" w:rsidRPr="000A6F0E">
        <w:rPr>
          <w:rFonts w:ascii="Arial" w:hAnsi="Arial" w:cs="Arial"/>
          <w:b/>
          <w:noProof/>
          <w:sz w:val="24"/>
          <w:szCs w:val="24"/>
          <w:lang w:val="af-ZA"/>
        </w:rPr>
        <w:t>s</w:t>
      </w:r>
      <w:r w:rsidR="00A82043" w:rsidRPr="000A6F0E">
        <w:rPr>
          <w:rFonts w:ascii="Arial" w:hAnsi="Arial" w:cs="Arial"/>
          <w:b/>
          <w:noProof/>
          <w:sz w:val="24"/>
          <w:szCs w:val="24"/>
          <w:lang w:val="af-ZA"/>
        </w:rPr>
        <w:t xml:space="preserve"> </w:t>
      </w:r>
      <w:r w:rsidRPr="000A6F0E">
        <w:rPr>
          <w:rFonts w:ascii="Arial" w:hAnsi="Arial" w:cs="Arial"/>
          <w:b/>
          <w:noProof/>
          <w:sz w:val="24"/>
          <w:szCs w:val="24"/>
          <w:lang w:val="af-ZA"/>
        </w:rPr>
        <w:t>A</w:t>
      </w:r>
      <w:r w:rsidR="008F624F" w:rsidRPr="000A6F0E">
        <w:rPr>
          <w:rFonts w:ascii="Arial" w:hAnsi="Arial" w:cs="Arial"/>
          <w:b/>
          <w:noProof/>
          <w:sz w:val="24"/>
          <w:szCs w:val="24"/>
          <w:lang w:val="af-ZA"/>
        </w:rPr>
        <w:t>uthorit</w:t>
      </w:r>
      <w:r w:rsidR="00DC4578" w:rsidRPr="000A6F0E">
        <w:rPr>
          <w:rFonts w:ascii="Arial" w:hAnsi="Arial" w:cs="Arial"/>
          <w:b/>
          <w:noProof/>
          <w:sz w:val="24"/>
          <w:szCs w:val="24"/>
          <w:lang w:val="af-ZA"/>
        </w:rPr>
        <w:t>y</w:t>
      </w:r>
      <w:r w:rsidR="008F624F" w:rsidRPr="000A6F0E">
        <w:rPr>
          <w:rFonts w:ascii="Arial" w:hAnsi="Arial" w:cs="Arial"/>
          <w:b/>
          <w:noProof/>
          <w:sz w:val="24"/>
          <w:szCs w:val="24"/>
          <w:lang w:val="af-ZA"/>
        </w:rPr>
        <w:t xml:space="preserve"> (SAQA)</w:t>
      </w:r>
      <w:r w:rsidR="000A6F0E">
        <w:rPr>
          <w:rFonts w:ascii="Arial" w:hAnsi="Arial" w:cs="Arial"/>
          <w:b/>
          <w:noProof/>
          <w:sz w:val="24"/>
          <w:szCs w:val="24"/>
          <w:lang w:val="af-ZA"/>
        </w:rPr>
        <w:t xml:space="preserve"> - </w:t>
      </w:r>
      <w:r w:rsidR="00BB40C2">
        <w:rPr>
          <w:rFonts w:ascii="Arial" w:hAnsi="Arial" w:cs="Arial"/>
          <w:sz w:val="24"/>
          <w:szCs w:val="24"/>
        </w:rPr>
        <w:t xml:space="preserve">The outstanding balances for </w:t>
      </w:r>
      <w:r w:rsidR="00821AA8" w:rsidRPr="000A6F0E">
        <w:rPr>
          <w:rFonts w:ascii="Arial" w:hAnsi="Arial" w:cs="Arial"/>
          <w:sz w:val="24"/>
          <w:szCs w:val="24"/>
        </w:rPr>
        <w:t xml:space="preserve">more than 30 to over 120 days relate to </w:t>
      </w:r>
      <w:r w:rsidR="00BB40C2">
        <w:rPr>
          <w:rFonts w:ascii="Arial" w:hAnsi="Arial" w:cs="Arial"/>
          <w:sz w:val="24"/>
          <w:szCs w:val="24"/>
        </w:rPr>
        <w:t>f</w:t>
      </w:r>
      <w:r w:rsidR="001D356D">
        <w:rPr>
          <w:rFonts w:ascii="Arial" w:hAnsi="Arial" w:cs="Arial"/>
          <w:sz w:val="24"/>
          <w:szCs w:val="24"/>
        </w:rPr>
        <w:t>unds that were paid to</w:t>
      </w:r>
      <w:r w:rsidR="00821AA8" w:rsidRPr="000A6F0E">
        <w:rPr>
          <w:rFonts w:ascii="Arial" w:hAnsi="Arial" w:cs="Arial"/>
          <w:sz w:val="24"/>
          <w:szCs w:val="24"/>
        </w:rPr>
        <w:t xml:space="preserve"> clients that utilise the Foreign Qualifications Evaluations and Advisory Services. These refunds were processed for payment but were rejected by the bank and returned to SAQA due to invalid account details or closed banking accounts. These refunds remain on the </w:t>
      </w:r>
      <w:r w:rsidR="00B85534" w:rsidRPr="000A6F0E">
        <w:rPr>
          <w:rFonts w:ascii="Arial" w:hAnsi="Arial" w:cs="Arial"/>
          <w:sz w:val="24"/>
          <w:szCs w:val="24"/>
        </w:rPr>
        <w:t>a</w:t>
      </w:r>
      <w:r w:rsidR="00821AA8" w:rsidRPr="000A6F0E">
        <w:rPr>
          <w:rFonts w:ascii="Arial" w:hAnsi="Arial" w:cs="Arial"/>
          <w:sz w:val="24"/>
          <w:szCs w:val="24"/>
        </w:rPr>
        <w:t>ge analysis until the client is traced and correct banking details are submitted to SAQA for effecting the payment.</w:t>
      </w:r>
    </w:p>
    <w:p w:rsidR="00821AA8" w:rsidRPr="000A6F0E" w:rsidRDefault="00821AA8" w:rsidP="000A6F0E">
      <w:pPr>
        <w:pStyle w:val="ListParagraph"/>
        <w:numPr>
          <w:ilvl w:val="0"/>
          <w:numId w:val="40"/>
        </w:numPr>
        <w:spacing w:before="240" w:after="240" w:line="360" w:lineRule="auto"/>
        <w:ind w:left="850" w:hanging="425"/>
        <w:contextualSpacing w:val="0"/>
        <w:jc w:val="both"/>
        <w:rPr>
          <w:rFonts w:ascii="Arial" w:hAnsi="Arial" w:cs="Arial"/>
          <w:b/>
          <w:noProof/>
          <w:sz w:val="24"/>
          <w:szCs w:val="24"/>
          <w:lang w:val="af-ZA"/>
        </w:rPr>
      </w:pPr>
      <w:r w:rsidRPr="000A6F0E">
        <w:rPr>
          <w:rFonts w:ascii="Arial" w:hAnsi="Arial" w:cs="Arial"/>
          <w:sz w:val="24"/>
          <w:szCs w:val="24"/>
        </w:rPr>
        <w:t>Efforts are made to trace the</w:t>
      </w:r>
      <w:r w:rsidR="00D65EA6">
        <w:rPr>
          <w:rFonts w:ascii="Arial" w:hAnsi="Arial" w:cs="Arial"/>
          <w:sz w:val="24"/>
          <w:szCs w:val="24"/>
        </w:rPr>
        <w:t>se</w:t>
      </w:r>
      <w:r w:rsidRPr="000A6F0E">
        <w:rPr>
          <w:rFonts w:ascii="Arial" w:hAnsi="Arial" w:cs="Arial"/>
          <w:sz w:val="24"/>
          <w:szCs w:val="24"/>
        </w:rPr>
        <w:t xml:space="preserve"> clients on a regular basis usin</w:t>
      </w:r>
      <w:r w:rsidR="00D65EA6">
        <w:rPr>
          <w:rFonts w:ascii="Arial" w:hAnsi="Arial" w:cs="Arial"/>
          <w:sz w:val="24"/>
          <w:szCs w:val="24"/>
        </w:rPr>
        <w:t xml:space="preserve">g the contact details </w:t>
      </w:r>
      <w:r w:rsidRPr="000A6F0E">
        <w:rPr>
          <w:rFonts w:ascii="Arial" w:hAnsi="Arial" w:cs="Arial"/>
          <w:sz w:val="24"/>
          <w:szCs w:val="24"/>
        </w:rPr>
        <w:t xml:space="preserve">provided at the application stage. It becomes difficult when the client(s) have left the country </w:t>
      </w:r>
      <w:r w:rsidR="00732CA9">
        <w:rPr>
          <w:rFonts w:ascii="Arial" w:hAnsi="Arial" w:cs="Arial"/>
          <w:sz w:val="24"/>
          <w:szCs w:val="24"/>
        </w:rPr>
        <w:t xml:space="preserve">or </w:t>
      </w:r>
      <w:r w:rsidRPr="000A6F0E">
        <w:rPr>
          <w:rFonts w:ascii="Arial" w:hAnsi="Arial" w:cs="Arial"/>
          <w:sz w:val="24"/>
          <w:szCs w:val="24"/>
        </w:rPr>
        <w:t xml:space="preserve">changed </w:t>
      </w:r>
      <w:r w:rsidR="00732CA9">
        <w:rPr>
          <w:rFonts w:ascii="Arial" w:hAnsi="Arial" w:cs="Arial"/>
          <w:sz w:val="24"/>
          <w:szCs w:val="24"/>
        </w:rPr>
        <w:t xml:space="preserve">their </w:t>
      </w:r>
      <w:r w:rsidRPr="000A6F0E">
        <w:rPr>
          <w:rFonts w:ascii="Arial" w:hAnsi="Arial" w:cs="Arial"/>
          <w:sz w:val="24"/>
          <w:szCs w:val="24"/>
        </w:rPr>
        <w:t>contact deta</w:t>
      </w:r>
      <w:r w:rsidR="00732CA9">
        <w:rPr>
          <w:rFonts w:ascii="Arial" w:hAnsi="Arial" w:cs="Arial"/>
          <w:sz w:val="24"/>
          <w:szCs w:val="24"/>
        </w:rPr>
        <w:t>ils. SAQA has also assigned additional</w:t>
      </w:r>
      <w:r w:rsidRPr="000A6F0E">
        <w:rPr>
          <w:rFonts w:ascii="Arial" w:hAnsi="Arial" w:cs="Arial"/>
          <w:sz w:val="24"/>
          <w:szCs w:val="24"/>
        </w:rPr>
        <w:t xml:space="preserve"> staff to deal with the tracing of these clients.</w:t>
      </w:r>
    </w:p>
    <w:p w:rsidR="001E4232" w:rsidRPr="00EE4F7A" w:rsidRDefault="00B86423" w:rsidP="000A6F0E">
      <w:pPr>
        <w:pStyle w:val="ListParagraph"/>
        <w:numPr>
          <w:ilvl w:val="0"/>
          <w:numId w:val="40"/>
        </w:numPr>
        <w:spacing w:before="240" w:after="240" w:line="360" w:lineRule="auto"/>
        <w:ind w:left="850" w:hanging="425"/>
        <w:contextualSpacing w:val="0"/>
        <w:jc w:val="both"/>
        <w:rPr>
          <w:rFonts w:ascii="Arial" w:hAnsi="Arial" w:cs="Arial"/>
          <w:sz w:val="24"/>
          <w:szCs w:val="24"/>
        </w:rPr>
      </w:pPr>
      <w:r>
        <w:rPr>
          <w:rFonts w:ascii="Arial" w:hAnsi="Arial" w:cs="Arial"/>
          <w:sz w:val="24"/>
          <w:szCs w:val="24"/>
        </w:rPr>
        <w:t xml:space="preserve">The </w:t>
      </w:r>
      <w:r w:rsidRPr="00EE4F7A">
        <w:rPr>
          <w:rFonts w:ascii="Arial" w:hAnsi="Arial" w:cs="Arial"/>
          <w:sz w:val="24"/>
          <w:szCs w:val="24"/>
        </w:rPr>
        <w:t xml:space="preserve">current </w:t>
      </w:r>
      <w:r w:rsidR="00732CA9">
        <w:rPr>
          <w:rFonts w:ascii="Arial" w:hAnsi="Arial" w:cs="Arial"/>
          <w:sz w:val="24"/>
          <w:szCs w:val="24"/>
        </w:rPr>
        <w:t>age analysis for unpaid invoices are</w:t>
      </w:r>
      <w:r>
        <w:rPr>
          <w:rFonts w:ascii="Arial" w:hAnsi="Arial" w:cs="Arial"/>
          <w:sz w:val="24"/>
          <w:szCs w:val="24"/>
        </w:rPr>
        <w:t xml:space="preserve"> provided below:</w:t>
      </w:r>
    </w:p>
    <w:tbl>
      <w:tblPr>
        <w:tblStyle w:val="TableGrid"/>
        <w:tblW w:w="8930" w:type="dxa"/>
        <w:tblInd w:w="421" w:type="dxa"/>
        <w:tblLook w:val="04A0" w:firstRow="1" w:lastRow="0" w:firstColumn="1" w:lastColumn="0" w:noHBand="0" w:noVBand="1"/>
      </w:tblPr>
      <w:tblGrid>
        <w:gridCol w:w="1427"/>
        <w:gridCol w:w="1415"/>
        <w:gridCol w:w="1556"/>
        <w:gridCol w:w="1558"/>
        <w:gridCol w:w="1436"/>
        <w:gridCol w:w="1538"/>
      </w:tblGrid>
      <w:tr w:rsidR="001E4232" w:rsidRPr="00EE4F7A" w:rsidTr="00D65EA6">
        <w:tc>
          <w:tcPr>
            <w:tcW w:w="1417" w:type="dxa"/>
            <w:shd w:val="clear" w:color="auto" w:fill="auto"/>
            <w:vAlign w:val="center"/>
          </w:tcPr>
          <w:p w:rsidR="001E4232" w:rsidRPr="000A6F0E" w:rsidRDefault="001E4232" w:rsidP="000A6F0E">
            <w:pPr>
              <w:pStyle w:val="Default"/>
              <w:spacing w:before="60" w:after="60"/>
              <w:jc w:val="center"/>
              <w:rPr>
                <w:b/>
                <w:sz w:val="22"/>
              </w:rPr>
            </w:pPr>
            <w:r w:rsidRPr="000A6F0E">
              <w:rPr>
                <w:b/>
                <w:sz w:val="22"/>
              </w:rPr>
              <w:t>Description</w:t>
            </w:r>
          </w:p>
        </w:tc>
        <w:tc>
          <w:tcPr>
            <w:tcW w:w="1418" w:type="dxa"/>
            <w:shd w:val="clear" w:color="auto" w:fill="auto"/>
            <w:vAlign w:val="center"/>
          </w:tcPr>
          <w:p w:rsidR="001E4232" w:rsidRPr="000A6F0E" w:rsidRDefault="001E4232" w:rsidP="000A6F0E">
            <w:pPr>
              <w:pStyle w:val="Default"/>
              <w:spacing w:before="60" w:after="60"/>
              <w:jc w:val="center"/>
              <w:rPr>
                <w:b/>
                <w:sz w:val="22"/>
              </w:rPr>
            </w:pPr>
            <w:r w:rsidRPr="000A6F0E">
              <w:rPr>
                <w:b/>
                <w:sz w:val="22"/>
              </w:rPr>
              <w:t>0 to 30 days</w:t>
            </w:r>
          </w:p>
        </w:tc>
        <w:tc>
          <w:tcPr>
            <w:tcW w:w="1559" w:type="dxa"/>
            <w:shd w:val="clear" w:color="auto" w:fill="auto"/>
            <w:vAlign w:val="center"/>
          </w:tcPr>
          <w:p w:rsidR="001E4232" w:rsidRPr="000A6F0E" w:rsidRDefault="001E4232" w:rsidP="000A6F0E">
            <w:pPr>
              <w:pStyle w:val="Default"/>
              <w:spacing w:before="60" w:after="60"/>
              <w:jc w:val="center"/>
              <w:rPr>
                <w:b/>
                <w:sz w:val="22"/>
              </w:rPr>
            </w:pPr>
            <w:r w:rsidRPr="000A6F0E">
              <w:rPr>
                <w:b/>
                <w:sz w:val="22"/>
              </w:rPr>
              <w:t>31 to 60 days</w:t>
            </w:r>
          </w:p>
        </w:tc>
        <w:tc>
          <w:tcPr>
            <w:tcW w:w="1559" w:type="dxa"/>
            <w:shd w:val="clear" w:color="auto" w:fill="auto"/>
            <w:vAlign w:val="center"/>
          </w:tcPr>
          <w:p w:rsidR="001E4232" w:rsidRPr="000A6F0E" w:rsidRDefault="001E4232" w:rsidP="000A6F0E">
            <w:pPr>
              <w:pStyle w:val="Default"/>
              <w:spacing w:before="60" w:after="60"/>
              <w:jc w:val="center"/>
              <w:rPr>
                <w:b/>
                <w:sz w:val="22"/>
              </w:rPr>
            </w:pPr>
            <w:r w:rsidRPr="000A6F0E">
              <w:rPr>
                <w:b/>
                <w:sz w:val="22"/>
              </w:rPr>
              <w:t>61 to 90 days</w:t>
            </w:r>
          </w:p>
        </w:tc>
        <w:tc>
          <w:tcPr>
            <w:tcW w:w="1439" w:type="dxa"/>
            <w:shd w:val="clear" w:color="auto" w:fill="auto"/>
            <w:vAlign w:val="center"/>
          </w:tcPr>
          <w:p w:rsidR="001E4232" w:rsidRPr="000A6F0E" w:rsidRDefault="001E4232" w:rsidP="000A6F0E">
            <w:pPr>
              <w:pStyle w:val="Default"/>
              <w:spacing w:before="60" w:after="60"/>
              <w:jc w:val="center"/>
              <w:rPr>
                <w:b/>
                <w:sz w:val="22"/>
              </w:rPr>
            </w:pPr>
            <w:r w:rsidRPr="000A6F0E">
              <w:rPr>
                <w:b/>
                <w:sz w:val="22"/>
              </w:rPr>
              <w:t>91 to 120 days</w:t>
            </w:r>
          </w:p>
        </w:tc>
        <w:tc>
          <w:tcPr>
            <w:tcW w:w="1538" w:type="dxa"/>
            <w:shd w:val="clear" w:color="auto" w:fill="auto"/>
            <w:vAlign w:val="center"/>
          </w:tcPr>
          <w:p w:rsidR="001E4232" w:rsidRPr="000A6F0E" w:rsidRDefault="001E4232" w:rsidP="000A6F0E">
            <w:pPr>
              <w:pStyle w:val="Default"/>
              <w:spacing w:before="60" w:after="60"/>
              <w:jc w:val="center"/>
              <w:rPr>
                <w:b/>
                <w:sz w:val="22"/>
              </w:rPr>
            </w:pPr>
            <w:r w:rsidRPr="000A6F0E">
              <w:rPr>
                <w:b/>
                <w:sz w:val="22"/>
              </w:rPr>
              <w:t>Over 120 days</w:t>
            </w:r>
          </w:p>
        </w:tc>
      </w:tr>
      <w:tr w:rsidR="001E4232" w:rsidRPr="00EE4F7A" w:rsidTr="00D65EA6">
        <w:tc>
          <w:tcPr>
            <w:tcW w:w="1417" w:type="dxa"/>
            <w:shd w:val="clear" w:color="auto" w:fill="auto"/>
          </w:tcPr>
          <w:p w:rsidR="001E4232" w:rsidRPr="000A6F0E" w:rsidRDefault="00A82043" w:rsidP="000A6F0E">
            <w:pPr>
              <w:pStyle w:val="Default"/>
              <w:spacing w:before="60" w:after="60"/>
              <w:jc w:val="center"/>
              <w:rPr>
                <w:sz w:val="22"/>
              </w:rPr>
            </w:pPr>
            <w:r w:rsidRPr="000A6F0E">
              <w:rPr>
                <w:sz w:val="22"/>
              </w:rPr>
              <w:t xml:space="preserve">Number </w:t>
            </w:r>
          </w:p>
        </w:tc>
        <w:tc>
          <w:tcPr>
            <w:tcW w:w="1418" w:type="dxa"/>
            <w:shd w:val="clear" w:color="auto" w:fill="auto"/>
          </w:tcPr>
          <w:p w:rsidR="001E4232" w:rsidRPr="000A6F0E" w:rsidRDefault="001E4232" w:rsidP="00D65EA6">
            <w:pPr>
              <w:pStyle w:val="Default"/>
              <w:spacing w:before="60" w:after="60"/>
              <w:jc w:val="center"/>
              <w:rPr>
                <w:sz w:val="22"/>
              </w:rPr>
            </w:pPr>
            <w:r w:rsidRPr="000A6F0E">
              <w:rPr>
                <w:sz w:val="22"/>
              </w:rPr>
              <w:t>3</w:t>
            </w:r>
          </w:p>
        </w:tc>
        <w:tc>
          <w:tcPr>
            <w:tcW w:w="1559" w:type="dxa"/>
            <w:shd w:val="clear" w:color="auto" w:fill="auto"/>
          </w:tcPr>
          <w:p w:rsidR="001E4232" w:rsidRPr="000A6F0E" w:rsidRDefault="001E4232" w:rsidP="00D65EA6">
            <w:pPr>
              <w:pStyle w:val="Default"/>
              <w:spacing w:before="60" w:after="60"/>
              <w:jc w:val="center"/>
              <w:rPr>
                <w:sz w:val="22"/>
              </w:rPr>
            </w:pPr>
            <w:r w:rsidRPr="000A6F0E">
              <w:rPr>
                <w:sz w:val="22"/>
              </w:rPr>
              <w:t>6</w:t>
            </w:r>
          </w:p>
        </w:tc>
        <w:tc>
          <w:tcPr>
            <w:tcW w:w="1559" w:type="dxa"/>
            <w:shd w:val="clear" w:color="auto" w:fill="auto"/>
          </w:tcPr>
          <w:p w:rsidR="001E4232" w:rsidRPr="000A6F0E" w:rsidRDefault="001E4232" w:rsidP="00D65EA6">
            <w:pPr>
              <w:pStyle w:val="Default"/>
              <w:spacing w:before="60" w:after="60"/>
              <w:jc w:val="center"/>
              <w:rPr>
                <w:sz w:val="22"/>
              </w:rPr>
            </w:pPr>
            <w:r w:rsidRPr="000A6F0E">
              <w:rPr>
                <w:sz w:val="22"/>
              </w:rPr>
              <w:t>14</w:t>
            </w:r>
          </w:p>
        </w:tc>
        <w:tc>
          <w:tcPr>
            <w:tcW w:w="1439" w:type="dxa"/>
            <w:shd w:val="clear" w:color="auto" w:fill="auto"/>
          </w:tcPr>
          <w:p w:rsidR="001E4232" w:rsidRPr="000A6F0E" w:rsidRDefault="001E4232" w:rsidP="00D65EA6">
            <w:pPr>
              <w:pStyle w:val="Default"/>
              <w:spacing w:before="60" w:after="60"/>
              <w:jc w:val="center"/>
              <w:rPr>
                <w:sz w:val="22"/>
              </w:rPr>
            </w:pPr>
            <w:r w:rsidRPr="000A6F0E">
              <w:rPr>
                <w:sz w:val="22"/>
              </w:rPr>
              <w:t>4</w:t>
            </w:r>
          </w:p>
        </w:tc>
        <w:tc>
          <w:tcPr>
            <w:tcW w:w="1538" w:type="dxa"/>
            <w:shd w:val="clear" w:color="auto" w:fill="auto"/>
          </w:tcPr>
          <w:p w:rsidR="001E4232" w:rsidRPr="000A6F0E" w:rsidRDefault="001E4232" w:rsidP="00D65EA6">
            <w:pPr>
              <w:pStyle w:val="Default"/>
              <w:spacing w:before="60" w:after="60"/>
              <w:jc w:val="center"/>
              <w:rPr>
                <w:sz w:val="22"/>
              </w:rPr>
            </w:pPr>
            <w:r w:rsidRPr="000A6F0E">
              <w:rPr>
                <w:sz w:val="22"/>
              </w:rPr>
              <w:t>191</w:t>
            </w:r>
          </w:p>
        </w:tc>
      </w:tr>
      <w:tr w:rsidR="006C30A0" w:rsidRPr="00EE4F7A" w:rsidTr="00D65EA6">
        <w:tc>
          <w:tcPr>
            <w:tcW w:w="1417" w:type="dxa"/>
            <w:shd w:val="clear" w:color="auto" w:fill="auto"/>
          </w:tcPr>
          <w:p w:rsidR="006C30A0" w:rsidRPr="000A6F0E" w:rsidRDefault="006C30A0" w:rsidP="000A6F0E">
            <w:pPr>
              <w:pStyle w:val="Default"/>
              <w:spacing w:before="60" w:after="60"/>
              <w:jc w:val="center"/>
              <w:rPr>
                <w:sz w:val="22"/>
              </w:rPr>
            </w:pPr>
            <w:r w:rsidRPr="000A6F0E">
              <w:rPr>
                <w:sz w:val="22"/>
              </w:rPr>
              <w:t>Amount</w:t>
            </w:r>
          </w:p>
        </w:tc>
        <w:tc>
          <w:tcPr>
            <w:tcW w:w="1418" w:type="dxa"/>
            <w:shd w:val="clear" w:color="auto" w:fill="auto"/>
          </w:tcPr>
          <w:p w:rsidR="006C30A0" w:rsidRPr="000A6F0E" w:rsidRDefault="006C30A0" w:rsidP="000A6F0E">
            <w:pPr>
              <w:pStyle w:val="Default"/>
              <w:spacing w:before="60" w:after="60"/>
              <w:jc w:val="right"/>
              <w:rPr>
                <w:sz w:val="22"/>
              </w:rPr>
            </w:pPr>
            <w:r w:rsidRPr="000A6F0E">
              <w:rPr>
                <w:sz w:val="22"/>
              </w:rPr>
              <w:t>R28 569</w:t>
            </w:r>
          </w:p>
        </w:tc>
        <w:tc>
          <w:tcPr>
            <w:tcW w:w="1559" w:type="dxa"/>
            <w:shd w:val="clear" w:color="auto" w:fill="auto"/>
          </w:tcPr>
          <w:p w:rsidR="006C30A0" w:rsidRPr="000A6F0E" w:rsidRDefault="006C30A0" w:rsidP="000A6F0E">
            <w:pPr>
              <w:pStyle w:val="Default"/>
              <w:spacing w:before="60" w:after="60"/>
              <w:jc w:val="right"/>
              <w:rPr>
                <w:sz w:val="22"/>
              </w:rPr>
            </w:pPr>
            <w:r w:rsidRPr="000A6F0E">
              <w:rPr>
                <w:sz w:val="22"/>
              </w:rPr>
              <w:t>R5 468</w:t>
            </w:r>
          </w:p>
        </w:tc>
        <w:tc>
          <w:tcPr>
            <w:tcW w:w="1559" w:type="dxa"/>
            <w:shd w:val="clear" w:color="auto" w:fill="auto"/>
          </w:tcPr>
          <w:p w:rsidR="006C30A0" w:rsidRPr="000A6F0E" w:rsidRDefault="006C30A0" w:rsidP="000A6F0E">
            <w:pPr>
              <w:pStyle w:val="Default"/>
              <w:spacing w:before="60" w:after="60"/>
              <w:jc w:val="right"/>
              <w:rPr>
                <w:sz w:val="22"/>
              </w:rPr>
            </w:pPr>
            <w:r w:rsidRPr="000A6F0E">
              <w:rPr>
                <w:sz w:val="22"/>
              </w:rPr>
              <w:t>R16 233.34</w:t>
            </w:r>
          </w:p>
        </w:tc>
        <w:tc>
          <w:tcPr>
            <w:tcW w:w="1439" w:type="dxa"/>
            <w:shd w:val="clear" w:color="auto" w:fill="auto"/>
          </w:tcPr>
          <w:p w:rsidR="006C30A0" w:rsidRPr="000A6F0E" w:rsidRDefault="006C30A0" w:rsidP="000A6F0E">
            <w:pPr>
              <w:pStyle w:val="Default"/>
              <w:spacing w:before="60" w:after="60"/>
              <w:jc w:val="right"/>
              <w:rPr>
                <w:sz w:val="22"/>
              </w:rPr>
            </w:pPr>
            <w:r w:rsidRPr="000A6F0E">
              <w:rPr>
                <w:sz w:val="22"/>
              </w:rPr>
              <w:t>R3 863</w:t>
            </w:r>
          </w:p>
        </w:tc>
        <w:tc>
          <w:tcPr>
            <w:tcW w:w="1538" w:type="dxa"/>
            <w:shd w:val="clear" w:color="auto" w:fill="auto"/>
          </w:tcPr>
          <w:p w:rsidR="006C30A0" w:rsidRPr="000A6F0E" w:rsidRDefault="006C30A0" w:rsidP="000A6F0E">
            <w:pPr>
              <w:pStyle w:val="Default"/>
              <w:spacing w:before="60" w:after="60"/>
              <w:jc w:val="right"/>
              <w:rPr>
                <w:sz w:val="22"/>
              </w:rPr>
            </w:pPr>
            <w:r w:rsidRPr="000A6F0E">
              <w:rPr>
                <w:sz w:val="22"/>
              </w:rPr>
              <w:t>R159 999.60</w:t>
            </w:r>
          </w:p>
        </w:tc>
      </w:tr>
    </w:tbl>
    <w:p w:rsidR="0045542D" w:rsidRDefault="0045542D">
      <w:pPr>
        <w:spacing w:after="0" w:line="240" w:lineRule="auto"/>
        <w:rPr>
          <w:rFonts w:ascii="Arial" w:hAnsi="Arial" w:cs="Arial"/>
          <w:b/>
          <w:sz w:val="24"/>
          <w:szCs w:val="24"/>
        </w:rPr>
      </w:pPr>
      <w:r>
        <w:rPr>
          <w:rFonts w:ascii="Arial" w:hAnsi="Arial" w:cs="Arial"/>
          <w:b/>
          <w:sz w:val="24"/>
          <w:szCs w:val="24"/>
        </w:rPr>
        <w:br w:type="page"/>
      </w:r>
    </w:p>
    <w:p w:rsidR="0045542D" w:rsidRPr="0045542D" w:rsidRDefault="00A82043" w:rsidP="0045542D">
      <w:pPr>
        <w:pStyle w:val="ListParagraph"/>
        <w:numPr>
          <w:ilvl w:val="0"/>
          <w:numId w:val="42"/>
        </w:numPr>
        <w:spacing w:before="360" w:after="120" w:line="360" w:lineRule="auto"/>
        <w:ind w:left="850" w:hanging="425"/>
        <w:contextualSpacing w:val="0"/>
        <w:jc w:val="both"/>
        <w:rPr>
          <w:rFonts w:ascii="Arial" w:hAnsi="Arial" w:cs="Arial"/>
          <w:b/>
          <w:sz w:val="24"/>
          <w:szCs w:val="24"/>
        </w:rPr>
      </w:pPr>
      <w:r w:rsidRPr="00D91E67">
        <w:rPr>
          <w:rFonts w:ascii="Arial" w:hAnsi="Arial" w:cs="Arial"/>
          <w:b/>
          <w:sz w:val="24"/>
          <w:szCs w:val="24"/>
        </w:rPr>
        <w:lastRenderedPageBreak/>
        <w:t>Agricultural Sector Education and Training Authority</w:t>
      </w:r>
      <w:r w:rsidR="008F624F" w:rsidRPr="00D91E67">
        <w:rPr>
          <w:rFonts w:ascii="Arial" w:hAnsi="Arial" w:cs="Arial"/>
          <w:b/>
          <w:sz w:val="24"/>
          <w:szCs w:val="24"/>
        </w:rPr>
        <w:t xml:space="preserve"> (AgriSETA)</w:t>
      </w:r>
      <w:r w:rsidR="0045542D">
        <w:rPr>
          <w:rFonts w:ascii="Arial" w:hAnsi="Arial" w:cs="Arial"/>
          <w:b/>
          <w:sz w:val="24"/>
          <w:szCs w:val="24"/>
        </w:rPr>
        <w:t xml:space="preserve"> - </w:t>
      </w:r>
      <w:r w:rsidR="00D31D31" w:rsidRPr="0045542D">
        <w:rPr>
          <w:rFonts w:ascii="Arial" w:hAnsi="Arial" w:cs="Arial"/>
          <w:sz w:val="24"/>
          <w:szCs w:val="24"/>
        </w:rPr>
        <w:t>P</w:t>
      </w:r>
      <w:r w:rsidR="00732CA9">
        <w:rPr>
          <w:rFonts w:ascii="Arial" w:hAnsi="Arial" w:cs="Arial"/>
          <w:sz w:val="24"/>
          <w:szCs w:val="24"/>
        </w:rPr>
        <w:t>roject</w:t>
      </w:r>
      <w:r w:rsidR="00A7331F" w:rsidRPr="0045542D">
        <w:rPr>
          <w:rFonts w:ascii="Arial" w:hAnsi="Arial" w:cs="Arial"/>
          <w:sz w:val="24"/>
          <w:szCs w:val="24"/>
        </w:rPr>
        <w:t xml:space="preserve"> invoices with queries that were not r</w:t>
      </w:r>
      <w:r w:rsidR="00341E5E" w:rsidRPr="0045542D">
        <w:rPr>
          <w:rFonts w:ascii="Arial" w:hAnsi="Arial" w:cs="Arial"/>
          <w:sz w:val="24"/>
          <w:szCs w:val="24"/>
        </w:rPr>
        <w:t>esolved by supplier</w:t>
      </w:r>
      <w:r w:rsidR="00732CA9">
        <w:rPr>
          <w:rFonts w:ascii="Arial" w:hAnsi="Arial" w:cs="Arial"/>
          <w:sz w:val="24"/>
          <w:szCs w:val="24"/>
        </w:rPr>
        <w:t xml:space="preserve">s </w:t>
      </w:r>
      <w:r w:rsidR="00341E5E" w:rsidRPr="0045542D">
        <w:rPr>
          <w:rFonts w:ascii="Arial" w:hAnsi="Arial" w:cs="Arial"/>
          <w:sz w:val="24"/>
          <w:szCs w:val="24"/>
        </w:rPr>
        <w:t>/</w:t>
      </w:r>
      <w:r w:rsidR="00732CA9">
        <w:rPr>
          <w:rFonts w:ascii="Arial" w:hAnsi="Arial" w:cs="Arial"/>
          <w:sz w:val="24"/>
          <w:szCs w:val="24"/>
        </w:rPr>
        <w:t xml:space="preserve"> </w:t>
      </w:r>
      <w:r w:rsidR="00341E5E" w:rsidRPr="0045542D">
        <w:rPr>
          <w:rFonts w:ascii="Arial" w:hAnsi="Arial" w:cs="Arial"/>
          <w:sz w:val="24"/>
          <w:szCs w:val="24"/>
        </w:rPr>
        <w:t>employer</w:t>
      </w:r>
      <w:r w:rsidR="00732CA9">
        <w:rPr>
          <w:rFonts w:ascii="Arial" w:hAnsi="Arial" w:cs="Arial"/>
          <w:sz w:val="24"/>
          <w:szCs w:val="24"/>
        </w:rPr>
        <w:t>s</w:t>
      </w:r>
      <w:r w:rsidR="00341E5E" w:rsidRPr="0045542D">
        <w:rPr>
          <w:rFonts w:ascii="Arial" w:hAnsi="Arial" w:cs="Arial"/>
          <w:sz w:val="24"/>
          <w:szCs w:val="24"/>
        </w:rPr>
        <w:t xml:space="preserve"> on</w:t>
      </w:r>
      <w:r w:rsidR="00D31D31" w:rsidRPr="0045542D">
        <w:rPr>
          <w:rFonts w:ascii="Arial" w:hAnsi="Arial" w:cs="Arial"/>
          <w:sz w:val="24"/>
          <w:szCs w:val="24"/>
        </w:rPr>
        <w:t xml:space="preserve"> </w:t>
      </w:r>
      <w:r w:rsidR="00D42DA2" w:rsidRPr="0045542D">
        <w:rPr>
          <w:rFonts w:ascii="Arial" w:hAnsi="Arial" w:cs="Arial"/>
          <w:sz w:val="24"/>
          <w:szCs w:val="24"/>
        </w:rPr>
        <w:t>t</w:t>
      </w:r>
      <w:r w:rsidR="00A7331F" w:rsidRPr="0045542D">
        <w:rPr>
          <w:rFonts w:ascii="Arial" w:hAnsi="Arial" w:cs="Arial"/>
          <w:sz w:val="24"/>
          <w:szCs w:val="24"/>
        </w:rPr>
        <w:t>ime</w:t>
      </w:r>
      <w:r w:rsidR="00D65EA6">
        <w:rPr>
          <w:rFonts w:ascii="Arial" w:hAnsi="Arial" w:cs="Arial"/>
          <w:sz w:val="24"/>
          <w:szCs w:val="24"/>
        </w:rPr>
        <w:t xml:space="preserve"> include</w:t>
      </w:r>
      <w:r w:rsidR="0045542D">
        <w:rPr>
          <w:rFonts w:ascii="Arial" w:hAnsi="Arial" w:cs="Arial"/>
          <w:sz w:val="24"/>
          <w:szCs w:val="24"/>
        </w:rPr>
        <w:t xml:space="preserve"> the following:</w:t>
      </w:r>
    </w:p>
    <w:p w:rsidR="00A7331F" w:rsidRPr="0045542D" w:rsidRDefault="0045542D" w:rsidP="0045542D">
      <w:pPr>
        <w:pStyle w:val="CommentText"/>
        <w:numPr>
          <w:ilvl w:val="0"/>
          <w:numId w:val="29"/>
        </w:numPr>
        <w:spacing w:after="0" w:line="360" w:lineRule="auto"/>
        <w:ind w:left="1276" w:hanging="425"/>
        <w:jc w:val="both"/>
        <w:rPr>
          <w:rFonts w:ascii="Arial" w:hAnsi="Arial" w:cs="Arial"/>
          <w:sz w:val="24"/>
          <w:szCs w:val="24"/>
        </w:rPr>
      </w:pPr>
      <w:r w:rsidRPr="0045542D">
        <w:rPr>
          <w:rFonts w:ascii="Arial" w:hAnsi="Arial" w:cs="Arial"/>
          <w:sz w:val="24"/>
          <w:szCs w:val="24"/>
        </w:rPr>
        <w:t xml:space="preserve">Outstanding </w:t>
      </w:r>
      <w:r w:rsidR="00A7331F" w:rsidRPr="0045542D">
        <w:rPr>
          <w:rFonts w:ascii="Arial" w:hAnsi="Arial" w:cs="Arial"/>
          <w:sz w:val="24"/>
          <w:szCs w:val="24"/>
        </w:rPr>
        <w:t>supporting documents.</w:t>
      </w:r>
    </w:p>
    <w:p w:rsidR="00A7331F" w:rsidRPr="0045542D" w:rsidRDefault="00D31D31" w:rsidP="0045542D">
      <w:pPr>
        <w:pStyle w:val="CommentText"/>
        <w:numPr>
          <w:ilvl w:val="0"/>
          <w:numId w:val="29"/>
        </w:numPr>
        <w:spacing w:after="0" w:line="360" w:lineRule="auto"/>
        <w:ind w:left="1276" w:hanging="425"/>
        <w:jc w:val="both"/>
        <w:rPr>
          <w:rFonts w:ascii="Arial" w:hAnsi="Arial" w:cs="Arial"/>
          <w:sz w:val="24"/>
          <w:szCs w:val="24"/>
        </w:rPr>
      </w:pPr>
      <w:r w:rsidRPr="0045542D">
        <w:rPr>
          <w:rFonts w:ascii="Arial" w:hAnsi="Arial" w:cs="Arial"/>
          <w:sz w:val="24"/>
          <w:szCs w:val="24"/>
        </w:rPr>
        <w:t>A</w:t>
      </w:r>
      <w:r w:rsidR="00A7331F" w:rsidRPr="0045542D">
        <w:rPr>
          <w:rFonts w:ascii="Arial" w:hAnsi="Arial" w:cs="Arial"/>
          <w:sz w:val="24"/>
          <w:szCs w:val="24"/>
        </w:rPr>
        <w:t>ccruals that were not ready to be paid due to outstanding supporting documents.</w:t>
      </w:r>
    </w:p>
    <w:p w:rsidR="00A7331F" w:rsidRPr="0045542D" w:rsidRDefault="00D31D31" w:rsidP="0045542D">
      <w:pPr>
        <w:pStyle w:val="CommentText"/>
        <w:numPr>
          <w:ilvl w:val="0"/>
          <w:numId w:val="29"/>
        </w:numPr>
        <w:spacing w:after="0" w:line="360" w:lineRule="auto"/>
        <w:ind w:left="1276" w:hanging="425"/>
        <w:jc w:val="both"/>
        <w:rPr>
          <w:rFonts w:ascii="Arial" w:hAnsi="Arial" w:cs="Arial"/>
          <w:sz w:val="24"/>
          <w:szCs w:val="24"/>
        </w:rPr>
      </w:pPr>
      <w:r w:rsidRPr="0045542D">
        <w:rPr>
          <w:rFonts w:ascii="Arial" w:hAnsi="Arial" w:cs="Arial"/>
          <w:sz w:val="24"/>
          <w:szCs w:val="24"/>
        </w:rPr>
        <w:t>I</w:t>
      </w:r>
      <w:r w:rsidR="00A7331F" w:rsidRPr="0045542D">
        <w:rPr>
          <w:rFonts w:ascii="Arial" w:hAnsi="Arial" w:cs="Arial"/>
          <w:sz w:val="24"/>
          <w:szCs w:val="24"/>
        </w:rPr>
        <w:t>nvoices that were submitted to AgriSETA with old invoice date</w:t>
      </w:r>
      <w:r w:rsidR="00732CA9">
        <w:rPr>
          <w:rFonts w:ascii="Arial" w:hAnsi="Arial" w:cs="Arial"/>
          <w:sz w:val="24"/>
          <w:szCs w:val="24"/>
        </w:rPr>
        <w:t>s</w:t>
      </w:r>
      <w:r w:rsidR="00A7331F" w:rsidRPr="0045542D">
        <w:rPr>
          <w:rFonts w:ascii="Arial" w:hAnsi="Arial" w:cs="Arial"/>
          <w:sz w:val="24"/>
          <w:szCs w:val="24"/>
        </w:rPr>
        <w:t xml:space="preserve">. These </w:t>
      </w:r>
      <w:r w:rsidR="0045542D" w:rsidRPr="0045542D">
        <w:rPr>
          <w:rFonts w:ascii="Arial" w:hAnsi="Arial" w:cs="Arial"/>
          <w:sz w:val="24"/>
          <w:szCs w:val="24"/>
        </w:rPr>
        <w:t xml:space="preserve">invoices </w:t>
      </w:r>
      <w:r w:rsidR="00A7331F" w:rsidRPr="0045542D">
        <w:rPr>
          <w:rFonts w:ascii="Arial" w:hAnsi="Arial" w:cs="Arial"/>
          <w:sz w:val="24"/>
          <w:szCs w:val="24"/>
        </w:rPr>
        <w:t>were recognised retrospectively.</w:t>
      </w:r>
    </w:p>
    <w:p w:rsidR="0045542D" w:rsidRPr="0045542D" w:rsidRDefault="00D65EA6" w:rsidP="00B21893">
      <w:pPr>
        <w:pStyle w:val="CommentText"/>
        <w:numPr>
          <w:ilvl w:val="0"/>
          <w:numId w:val="29"/>
        </w:numPr>
        <w:spacing w:after="0" w:line="360" w:lineRule="auto"/>
        <w:ind w:left="1276" w:hanging="425"/>
        <w:jc w:val="both"/>
        <w:rPr>
          <w:rFonts w:ascii="Arial" w:hAnsi="Arial" w:cs="Arial"/>
          <w:sz w:val="24"/>
          <w:szCs w:val="24"/>
        </w:rPr>
      </w:pPr>
      <w:r>
        <w:rPr>
          <w:rFonts w:ascii="Arial" w:hAnsi="Arial" w:cs="Arial"/>
          <w:sz w:val="24"/>
          <w:szCs w:val="24"/>
        </w:rPr>
        <w:t>I</w:t>
      </w:r>
      <w:r w:rsidR="00A7331F" w:rsidRPr="0045542D">
        <w:rPr>
          <w:rFonts w:ascii="Arial" w:hAnsi="Arial" w:cs="Arial"/>
          <w:sz w:val="24"/>
          <w:szCs w:val="24"/>
        </w:rPr>
        <w:t xml:space="preserve">nvoices that were delivered </w:t>
      </w:r>
      <w:r>
        <w:rPr>
          <w:rFonts w:ascii="Arial" w:hAnsi="Arial" w:cs="Arial"/>
          <w:sz w:val="24"/>
          <w:szCs w:val="24"/>
        </w:rPr>
        <w:t xml:space="preserve">late </w:t>
      </w:r>
      <w:r w:rsidR="00A7331F" w:rsidRPr="0045542D">
        <w:rPr>
          <w:rFonts w:ascii="Arial" w:hAnsi="Arial" w:cs="Arial"/>
          <w:sz w:val="24"/>
          <w:szCs w:val="24"/>
        </w:rPr>
        <w:t xml:space="preserve">by hotels to </w:t>
      </w:r>
      <w:r w:rsidR="00B21893" w:rsidRPr="00B21893">
        <w:rPr>
          <w:rFonts w:ascii="Arial" w:hAnsi="Arial" w:cs="Arial"/>
          <w:sz w:val="24"/>
          <w:szCs w:val="24"/>
        </w:rPr>
        <w:t xml:space="preserve">Travel </w:t>
      </w:r>
      <w:proofErr w:type="gramStart"/>
      <w:r w:rsidR="00B21893" w:rsidRPr="00B21893">
        <w:rPr>
          <w:rFonts w:ascii="Arial" w:hAnsi="Arial" w:cs="Arial"/>
          <w:sz w:val="24"/>
          <w:szCs w:val="24"/>
        </w:rPr>
        <w:t>With</w:t>
      </w:r>
      <w:proofErr w:type="gramEnd"/>
      <w:r w:rsidR="00B21893" w:rsidRPr="00B21893">
        <w:rPr>
          <w:rFonts w:ascii="Arial" w:hAnsi="Arial" w:cs="Arial"/>
          <w:sz w:val="24"/>
          <w:szCs w:val="24"/>
        </w:rPr>
        <w:t xml:space="preserve"> Flair </w:t>
      </w:r>
      <w:r>
        <w:rPr>
          <w:rFonts w:ascii="Arial" w:hAnsi="Arial" w:cs="Arial"/>
          <w:sz w:val="24"/>
          <w:szCs w:val="24"/>
        </w:rPr>
        <w:t xml:space="preserve">and Club Travel </w:t>
      </w:r>
      <w:r w:rsidR="00A7331F" w:rsidRPr="0045542D">
        <w:rPr>
          <w:rFonts w:ascii="Arial" w:hAnsi="Arial" w:cs="Arial"/>
          <w:sz w:val="24"/>
          <w:szCs w:val="24"/>
        </w:rPr>
        <w:t>for submission to AgriSETA.</w:t>
      </w:r>
    </w:p>
    <w:p w:rsidR="00722AC2" w:rsidRPr="0045542D" w:rsidRDefault="00D31D31" w:rsidP="0045542D">
      <w:pPr>
        <w:pStyle w:val="CommentText"/>
        <w:numPr>
          <w:ilvl w:val="0"/>
          <w:numId w:val="29"/>
        </w:numPr>
        <w:spacing w:after="0" w:line="360" w:lineRule="auto"/>
        <w:ind w:left="1276" w:hanging="425"/>
        <w:jc w:val="both"/>
        <w:rPr>
          <w:rFonts w:ascii="Arial" w:hAnsi="Arial" w:cs="Arial"/>
          <w:sz w:val="24"/>
          <w:szCs w:val="24"/>
        </w:rPr>
      </w:pPr>
      <w:r w:rsidRPr="0045542D">
        <w:rPr>
          <w:rFonts w:ascii="Arial" w:hAnsi="Arial" w:cs="Arial"/>
          <w:sz w:val="24"/>
          <w:szCs w:val="24"/>
        </w:rPr>
        <w:t>S</w:t>
      </w:r>
      <w:r w:rsidR="00341E5E" w:rsidRPr="0045542D">
        <w:rPr>
          <w:rFonts w:ascii="Arial" w:hAnsi="Arial" w:cs="Arial"/>
          <w:sz w:val="24"/>
          <w:szCs w:val="24"/>
        </w:rPr>
        <w:t>ome</w:t>
      </w:r>
      <w:r w:rsidR="00A7331F" w:rsidRPr="0045542D">
        <w:rPr>
          <w:rFonts w:ascii="Arial" w:hAnsi="Arial" w:cs="Arial"/>
          <w:sz w:val="24"/>
          <w:szCs w:val="24"/>
        </w:rPr>
        <w:t xml:space="preserve"> of invoices were subsequently replaced </w:t>
      </w:r>
      <w:r w:rsidR="00341E5E" w:rsidRPr="0045542D">
        <w:rPr>
          <w:rFonts w:ascii="Arial" w:hAnsi="Arial" w:cs="Arial"/>
          <w:sz w:val="24"/>
          <w:szCs w:val="24"/>
        </w:rPr>
        <w:t>with corrected invoices and</w:t>
      </w:r>
      <w:r w:rsidR="0045542D" w:rsidRPr="0045542D">
        <w:rPr>
          <w:rFonts w:ascii="Arial" w:hAnsi="Arial" w:cs="Arial"/>
          <w:sz w:val="24"/>
          <w:szCs w:val="24"/>
        </w:rPr>
        <w:t xml:space="preserve"> </w:t>
      </w:r>
      <w:r w:rsidR="00341E5E" w:rsidRPr="0045542D">
        <w:rPr>
          <w:rFonts w:ascii="Arial" w:hAnsi="Arial" w:cs="Arial"/>
          <w:sz w:val="24"/>
          <w:szCs w:val="24"/>
        </w:rPr>
        <w:t xml:space="preserve">old </w:t>
      </w:r>
      <w:r w:rsidR="00A7331F" w:rsidRPr="0045542D">
        <w:rPr>
          <w:rFonts w:ascii="Arial" w:hAnsi="Arial" w:cs="Arial"/>
          <w:sz w:val="24"/>
          <w:szCs w:val="24"/>
        </w:rPr>
        <w:t>invoices were cancelled. These include invoices that were duplicated.</w:t>
      </w:r>
    </w:p>
    <w:p w:rsidR="00AE0AF7" w:rsidRPr="00EE4F7A" w:rsidRDefault="00A7331F" w:rsidP="0045542D">
      <w:pPr>
        <w:pStyle w:val="ListParagraph"/>
        <w:numPr>
          <w:ilvl w:val="0"/>
          <w:numId w:val="42"/>
        </w:numPr>
        <w:spacing w:before="240" w:after="240" w:line="360" w:lineRule="auto"/>
        <w:ind w:left="850" w:hanging="425"/>
        <w:contextualSpacing w:val="0"/>
        <w:jc w:val="both"/>
        <w:rPr>
          <w:rFonts w:ascii="Arial" w:hAnsi="Arial" w:cs="Arial"/>
          <w:sz w:val="24"/>
          <w:szCs w:val="24"/>
        </w:rPr>
      </w:pPr>
      <w:r w:rsidRPr="0045542D">
        <w:rPr>
          <w:rFonts w:ascii="Arial" w:hAnsi="Arial" w:cs="Arial"/>
          <w:sz w:val="24"/>
          <w:szCs w:val="24"/>
        </w:rPr>
        <w:t>AgriSETA</w:t>
      </w:r>
      <w:r w:rsidRPr="00EE4F7A">
        <w:rPr>
          <w:rFonts w:ascii="Arial" w:hAnsi="Arial" w:cs="Arial"/>
          <w:sz w:val="24"/>
          <w:szCs w:val="24"/>
        </w:rPr>
        <w:t xml:space="preserve"> took </w:t>
      </w:r>
      <w:r w:rsidR="00D65EA6">
        <w:rPr>
          <w:rFonts w:ascii="Arial" w:hAnsi="Arial" w:cs="Arial"/>
          <w:sz w:val="24"/>
          <w:szCs w:val="24"/>
        </w:rPr>
        <w:t xml:space="preserve">a </w:t>
      </w:r>
      <w:r w:rsidRPr="00EE4F7A">
        <w:rPr>
          <w:rFonts w:ascii="Arial" w:hAnsi="Arial" w:cs="Arial"/>
          <w:sz w:val="24"/>
          <w:szCs w:val="24"/>
        </w:rPr>
        <w:t xml:space="preserve">resolution to in-source invoice capturing and payments to ensure early detection and correction of discrepancies.  </w:t>
      </w:r>
    </w:p>
    <w:p w:rsidR="00FA23D6" w:rsidRPr="00EE4F7A" w:rsidRDefault="00FB7359" w:rsidP="0045542D">
      <w:pPr>
        <w:pStyle w:val="ListParagraph"/>
        <w:numPr>
          <w:ilvl w:val="0"/>
          <w:numId w:val="42"/>
        </w:numPr>
        <w:spacing w:before="240" w:after="240" w:line="360" w:lineRule="auto"/>
        <w:ind w:left="850" w:hanging="425"/>
        <w:contextualSpacing w:val="0"/>
        <w:jc w:val="both"/>
        <w:rPr>
          <w:rFonts w:ascii="Arial" w:hAnsi="Arial" w:cs="Arial"/>
          <w:sz w:val="24"/>
          <w:szCs w:val="24"/>
        </w:rPr>
      </w:pPr>
      <w:r>
        <w:rPr>
          <w:rFonts w:ascii="Arial" w:hAnsi="Arial" w:cs="Arial"/>
          <w:sz w:val="24"/>
          <w:szCs w:val="24"/>
        </w:rPr>
        <w:t xml:space="preserve">The </w:t>
      </w:r>
      <w:r w:rsidRPr="00EE4F7A">
        <w:rPr>
          <w:rFonts w:ascii="Arial" w:hAnsi="Arial" w:cs="Arial"/>
          <w:sz w:val="24"/>
          <w:szCs w:val="24"/>
        </w:rPr>
        <w:t xml:space="preserve">current </w:t>
      </w:r>
      <w:r>
        <w:rPr>
          <w:rFonts w:ascii="Arial" w:hAnsi="Arial" w:cs="Arial"/>
          <w:sz w:val="24"/>
          <w:szCs w:val="24"/>
        </w:rPr>
        <w:t>age analysis for unpaid invoices is provided below:</w:t>
      </w:r>
    </w:p>
    <w:tbl>
      <w:tblPr>
        <w:tblStyle w:val="TableGrid"/>
        <w:tblW w:w="8930" w:type="dxa"/>
        <w:tblInd w:w="421" w:type="dxa"/>
        <w:tblLook w:val="04A0" w:firstRow="1" w:lastRow="0" w:firstColumn="1" w:lastColumn="0" w:noHBand="0" w:noVBand="1"/>
      </w:tblPr>
      <w:tblGrid>
        <w:gridCol w:w="1701"/>
        <w:gridCol w:w="1701"/>
        <w:gridCol w:w="1842"/>
        <w:gridCol w:w="1745"/>
        <w:gridCol w:w="1941"/>
      </w:tblGrid>
      <w:tr w:rsidR="00722AC2" w:rsidRPr="00EE4F7A" w:rsidTr="00D65EA6">
        <w:tc>
          <w:tcPr>
            <w:tcW w:w="1701" w:type="dxa"/>
            <w:shd w:val="clear" w:color="auto" w:fill="auto"/>
            <w:vAlign w:val="center"/>
          </w:tcPr>
          <w:p w:rsidR="00722AC2" w:rsidRPr="0045542D" w:rsidRDefault="00722AC2" w:rsidP="00615CEC">
            <w:pPr>
              <w:pStyle w:val="Default"/>
              <w:spacing w:before="60" w:after="60"/>
              <w:jc w:val="center"/>
              <w:rPr>
                <w:b/>
                <w:sz w:val="22"/>
              </w:rPr>
            </w:pPr>
            <w:r w:rsidRPr="0045542D">
              <w:rPr>
                <w:b/>
                <w:sz w:val="22"/>
              </w:rPr>
              <w:t>Description</w:t>
            </w:r>
          </w:p>
        </w:tc>
        <w:tc>
          <w:tcPr>
            <w:tcW w:w="1701" w:type="dxa"/>
            <w:shd w:val="clear" w:color="auto" w:fill="auto"/>
            <w:vAlign w:val="center"/>
          </w:tcPr>
          <w:p w:rsidR="00722AC2" w:rsidRPr="0045542D" w:rsidRDefault="00722AC2" w:rsidP="00615CEC">
            <w:pPr>
              <w:pStyle w:val="Default"/>
              <w:spacing w:before="60" w:after="60"/>
              <w:jc w:val="center"/>
              <w:rPr>
                <w:b/>
                <w:sz w:val="22"/>
              </w:rPr>
            </w:pPr>
            <w:r w:rsidRPr="0045542D">
              <w:rPr>
                <w:b/>
                <w:sz w:val="22"/>
              </w:rPr>
              <w:t>31 to 60 days</w:t>
            </w:r>
          </w:p>
        </w:tc>
        <w:tc>
          <w:tcPr>
            <w:tcW w:w="1842" w:type="dxa"/>
            <w:shd w:val="clear" w:color="auto" w:fill="auto"/>
            <w:vAlign w:val="center"/>
          </w:tcPr>
          <w:p w:rsidR="00722AC2" w:rsidRPr="0045542D" w:rsidRDefault="00722AC2" w:rsidP="00615CEC">
            <w:pPr>
              <w:pStyle w:val="Default"/>
              <w:spacing w:before="60" w:after="60"/>
              <w:jc w:val="center"/>
              <w:rPr>
                <w:b/>
                <w:sz w:val="22"/>
              </w:rPr>
            </w:pPr>
            <w:r w:rsidRPr="0045542D">
              <w:rPr>
                <w:b/>
                <w:sz w:val="22"/>
              </w:rPr>
              <w:t>61 to 90 days</w:t>
            </w:r>
          </w:p>
        </w:tc>
        <w:tc>
          <w:tcPr>
            <w:tcW w:w="1745" w:type="dxa"/>
            <w:shd w:val="clear" w:color="auto" w:fill="auto"/>
            <w:vAlign w:val="center"/>
          </w:tcPr>
          <w:p w:rsidR="00722AC2" w:rsidRPr="0045542D" w:rsidRDefault="00722AC2" w:rsidP="00615CEC">
            <w:pPr>
              <w:pStyle w:val="Default"/>
              <w:spacing w:before="60" w:after="60"/>
              <w:jc w:val="center"/>
              <w:rPr>
                <w:b/>
                <w:sz w:val="22"/>
              </w:rPr>
            </w:pPr>
            <w:r w:rsidRPr="0045542D">
              <w:rPr>
                <w:b/>
                <w:sz w:val="22"/>
              </w:rPr>
              <w:t>91 to 120 days</w:t>
            </w:r>
          </w:p>
        </w:tc>
        <w:tc>
          <w:tcPr>
            <w:tcW w:w="1941" w:type="dxa"/>
            <w:shd w:val="clear" w:color="auto" w:fill="auto"/>
            <w:vAlign w:val="center"/>
          </w:tcPr>
          <w:p w:rsidR="00722AC2" w:rsidRPr="0045542D" w:rsidRDefault="00722AC2" w:rsidP="00615CEC">
            <w:pPr>
              <w:pStyle w:val="Default"/>
              <w:spacing w:before="60" w:after="60"/>
              <w:jc w:val="center"/>
              <w:rPr>
                <w:b/>
                <w:sz w:val="22"/>
              </w:rPr>
            </w:pPr>
            <w:r w:rsidRPr="0045542D">
              <w:rPr>
                <w:b/>
                <w:sz w:val="22"/>
              </w:rPr>
              <w:t>Over 120 days</w:t>
            </w:r>
          </w:p>
        </w:tc>
      </w:tr>
      <w:tr w:rsidR="00722AC2" w:rsidRPr="00EE4F7A" w:rsidTr="00D65EA6">
        <w:tc>
          <w:tcPr>
            <w:tcW w:w="1701" w:type="dxa"/>
            <w:shd w:val="clear" w:color="auto" w:fill="auto"/>
          </w:tcPr>
          <w:p w:rsidR="00722AC2" w:rsidRPr="0045542D" w:rsidRDefault="00722AC2" w:rsidP="00615CEC">
            <w:pPr>
              <w:pStyle w:val="Default"/>
              <w:spacing w:before="60" w:after="60"/>
              <w:rPr>
                <w:sz w:val="22"/>
              </w:rPr>
            </w:pPr>
            <w:r w:rsidRPr="0045542D">
              <w:rPr>
                <w:sz w:val="22"/>
              </w:rPr>
              <w:t xml:space="preserve">Number </w:t>
            </w:r>
          </w:p>
        </w:tc>
        <w:tc>
          <w:tcPr>
            <w:tcW w:w="1701" w:type="dxa"/>
            <w:shd w:val="clear" w:color="auto" w:fill="auto"/>
          </w:tcPr>
          <w:p w:rsidR="00722AC2" w:rsidRPr="0045542D" w:rsidRDefault="00722AC2" w:rsidP="00615CEC">
            <w:pPr>
              <w:spacing w:before="60" w:after="60" w:line="240" w:lineRule="auto"/>
              <w:jc w:val="center"/>
              <w:rPr>
                <w:rFonts w:ascii="Arial" w:hAnsi="Arial" w:cs="Arial"/>
                <w:color w:val="000000"/>
                <w:szCs w:val="24"/>
                <w:lang w:val="en-US" w:eastAsia="ja-JP"/>
              </w:rPr>
            </w:pPr>
            <w:r w:rsidRPr="0045542D">
              <w:rPr>
                <w:rFonts w:ascii="Arial" w:hAnsi="Arial" w:cs="Arial"/>
                <w:color w:val="000000"/>
                <w:szCs w:val="24"/>
                <w:lang w:val="en-US" w:eastAsia="ja-JP"/>
              </w:rPr>
              <w:t>3</w:t>
            </w:r>
          </w:p>
        </w:tc>
        <w:tc>
          <w:tcPr>
            <w:tcW w:w="1842" w:type="dxa"/>
            <w:shd w:val="clear" w:color="auto" w:fill="auto"/>
          </w:tcPr>
          <w:p w:rsidR="00722AC2" w:rsidRPr="0045542D" w:rsidRDefault="00722AC2" w:rsidP="00615CEC">
            <w:pPr>
              <w:spacing w:before="60" w:after="60" w:line="240" w:lineRule="auto"/>
              <w:jc w:val="center"/>
              <w:rPr>
                <w:rFonts w:ascii="Arial" w:hAnsi="Arial" w:cs="Arial"/>
                <w:color w:val="000000"/>
                <w:szCs w:val="24"/>
                <w:lang w:val="en-US" w:eastAsia="ja-JP"/>
              </w:rPr>
            </w:pPr>
            <w:r w:rsidRPr="0045542D">
              <w:rPr>
                <w:rFonts w:ascii="Arial" w:hAnsi="Arial" w:cs="Arial"/>
                <w:color w:val="000000"/>
                <w:szCs w:val="24"/>
                <w:lang w:val="en-US" w:eastAsia="ja-JP"/>
              </w:rPr>
              <w:t>1</w:t>
            </w:r>
          </w:p>
        </w:tc>
        <w:tc>
          <w:tcPr>
            <w:tcW w:w="1745" w:type="dxa"/>
            <w:shd w:val="clear" w:color="auto" w:fill="auto"/>
          </w:tcPr>
          <w:p w:rsidR="00722AC2" w:rsidRPr="0045542D" w:rsidRDefault="00722AC2" w:rsidP="00615CEC">
            <w:pPr>
              <w:spacing w:before="60" w:after="60" w:line="240" w:lineRule="auto"/>
              <w:jc w:val="center"/>
              <w:rPr>
                <w:rFonts w:ascii="Arial" w:hAnsi="Arial" w:cs="Arial"/>
                <w:color w:val="000000"/>
                <w:szCs w:val="24"/>
                <w:lang w:val="en-US" w:eastAsia="ja-JP"/>
              </w:rPr>
            </w:pPr>
            <w:r w:rsidRPr="0045542D">
              <w:rPr>
                <w:rFonts w:ascii="Arial" w:hAnsi="Arial" w:cs="Arial"/>
                <w:color w:val="000000"/>
                <w:szCs w:val="24"/>
                <w:lang w:val="en-US" w:eastAsia="ja-JP"/>
              </w:rPr>
              <w:t>1</w:t>
            </w:r>
          </w:p>
        </w:tc>
        <w:tc>
          <w:tcPr>
            <w:tcW w:w="1941" w:type="dxa"/>
            <w:shd w:val="clear" w:color="auto" w:fill="auto"/>
          </w:tcPr>
          <w:p w:rsidR="00722AC2" w:rsidRPr="0045542D" w:rsidRDefault="00722AC2" w:rsidP="00615CEC">
            <w:pPr>
              <w:spacing w:before="60" w:after="60" w:line="240" w:lineRule="auto"/>
              <w:jc w:val="center"/>
              <w:rPr>
                <w:rFonts w:ascii="Arial" w:hAnsi="Arial" w:cs="Arial"/>
                <w:color w:val="000000"/>
                <w:szCs w:val="24"/>
                <w:lang w:val="en-US" w:eastAsia="ja-JP"/>
              </w:rPr>
            </w:pPr>
            <w:r w:rsidRPr="0045542D">
              <w:rPr>
                <w:rFonts w:ascii="Arial" w:hAnsi="Arial" w:cs="Arial"/>
                <w:color w:val="000000"/>
                <w:szCs w:val="24"/>
                <w:lang w:val="en-US" w:eastAsia="ja-JP"/>
              </w:rPr>
              <w:t>54</w:t>
            </w:r>
          </w:p>
        </w:tc>
      </w:tr>
      <w:tr w:rsidR="00722AC2" w:rsidRPr="00EE4F7A" w:rsidTr="00D65EA6">
        <w:tc>
          <w:tcPr>
            <w:tcW w:w="1701" w:type="dxa"/>
            <w:shd w:val="clear" w:color="auto" w:fill="auto"/>
          </w:tcPr>
          <w:p w:rsidR="00722AC2" w:rsidRPr="0045542D" w:rsidRDefault="00722AC2" w:rsidP="00615CEC">
            <w:pPr>
              <w:pStyle w:val="Default"/>
              <w:spacing w:before="60" w:after="60"/>
              <w:rPr>
                <w:sz w:val="22"/>
              </w:rPr>
            </w:pPr>
            <w:r w:rsidRPr="0045542D">
              <w:rPr>
                <w:sz w:val="22"/>
              </w:rPr>
              <w:t>Amount</w:t>
            </w:r>
          </w:p>
        </w:tc>
        <w:tc>
          <w:tcPr>
            <w:tcW w:w="1701" w:type="dxa"/>
            <w:shd w:val="clear" w:color="auto" w:fill="auto"/>
          </w:tcPr>
          <w:p w:rsidR="00722AC2" w:rsidRPr="0045542D" w:rsidRDefault="00722AC2" w:rsidP="00615CEC">
            <w:pPr>
              <w:spacing w:before="60" w:after="60" w:line="240" w:lineRule="auto"/>
              <w:jc w:val="right"/>
              <w:rPr>
                <w:rFonts w:ascii="Arial" w:hAnsi="Arial" w:cs="Arial"/>
                <w:color w:val="000000"/>
                <w:szCs w:val="24"/>
                <w:lang w:val="en-US" w:eastAsia="ja-JP"/>
              </w:rPr>
            </w:pPr>
            <w:r w:rsidRPr="0045542D">
              <w:rPr>
                <w:rFonts w:ascii="Arial" w:hAnsi="Arial" w:cs="Arial"/>
                <w:color w:val="000000"/>
                <w:szCs w:val="24"/>
                <w:lang w:val="en-US" w:eastAsia="ja-JP"/>
              </w:rPr>
              <w:t>R72 571.31</w:t>
            </w:r>
          </w:p>
        </w:tc>
        <w:tc>
          <w:tcPr>
            <w:tcW w:w="1842" w:type="dxa"/>
            <w:shd w:val="clear" w:color="auto" w:fill="auto"/>
          </w:tcPr>
          <w:p w:rsidR="00722AC2" w:rsidRPr="0045542D" w:rsidRDefault="00722AC2" w:rsidP="00615CEC">
            <w:pPr>
              <w:spacing w:before="60" w:after="60" w:line="240" w:lineRule="auto"/>
              <w:jc w:val="right"/>
              <w:rPr>
                <w:rFonts w:ascii="Arial" w:hAnsi="Arial" w:cs="Arial"/>
                <w:color w:val="000000"/>
                <w:szCs w:val="24"/>
                <w:lang w:val="en-US" w:eastAsia="ja-JP"/>
              </w:rPr>
            </w:pPr>
            <w:r w:rsidRPr="0045542D">
              <w:rPr>
                <w:rFonts w:ascii="Arial" w:hAnsi="Arial" w:cs="Arial"/>
                <w:color w:val="000000"/>
                <w:szCs w:val="24"/>
                <w:lang w:val="en-US" w:eastAsia="ja-JP"/>
              </w:rPr>
              <w:t>R100 464.00</w:t>
            </w:r>
          </w:p>
        </w:tc>
        <w:tc>
          <w:tcPr>
            <w:tcW w:w="1745" w:type="dxa"/>
            <w:shd w:val="clear" w:color="auto" w:fill="auto"/>
          </w:tcPr>
          <w:p w:rsidR="00722AC2" w:rsidRPr="0045542D" w:rsidRDefault="00722AC2" w:rsidP="00615CEC">
            <w:pPr>
              <w:spacing w:before="60" w:after="60" w:line="240" w:lineRule="auto"/>
              <w:jc w:val="right"/>
              <w:rPr>
                <w:rFonts w:ascii="Arial" w:hAnsi="Arial" w:cs="Arial"/>
                <w:color w:val="000000"/>
                <w:szCs w:val="24"/>
                <w:lang w:val="en-US" w:eastAsia="ja-JP"/>
              </w:rPr>
            </w:pPr>
            <w:r w:rsidRPr="0045542D">
              <w:rPr>
                <w:rFonts w:ascii="Arial" w:hAnsi="Arial" w:cs="Arial"/>
                <w:color w:val="000000"/>
                <w:szCs w:val="24"/>
                <w:lang w:val="en-US" w:eastAsia="ja-JP"/>
              </w:rPr>
              <w:t>R94 329.00</w:t>
            </w:r>
          </w:p>
        </w:tc>
        <w:tc>
          <w:tcPr>
            <w:tcW w:w="1941" w:type="dxa"/>
            <w:shd w:val="clear" w:color="auto" w:fill="auto"/>
          </w:tcPr>
          <w:p w:rsidR="00722AC2" w:rsidRPr="0045542D" w:rsidRDefault="00722AC2" w:rsidP="00615CEC">
            <w:pPr>
              <w:spacing w:before="60" w:after="60" w:line="240" w:lineRule="auto"/>
              <w:jc w:val="right"/>
              <w:rPr>
                <w:rFonts w:ascii="Arial" w:hAnsi="Arial" w:cs="Arial"/>
                <w:color w:val="000000"/>
                <w:szCs w:val="24"/>
                <w:lang w:val="en-US" w:eastAsia="ja-JP"/>
              </w:rPr>
            </w:pPr>
            <w:r w:rsidRPr="0045542D">
              <w:rPr>
                <w:rFonts w:ascii="Arial" w:hAnsi="Arial" w:cs="Arial"/>
                <w:color w:val="000000"/>
                <w:szCs w:val="24"/>
                <w:lang w:val="en-US" w:eastAsia="ja-JP"/>
              </w:rPr>
              <w:t>R1 659 985.62</w:t>
            </w:r>
          </w:p>
        </w:tc>
      </w:tr>
    </w:tbl>
    <w:p w:rsidR="00CB3E8E" w:rsidRPr="00615CEC" w:rsidRDefault="00CB3E8E" w:rsidP="005860AF">
      <w:pPr>
        <w:pStyle w:val="ListParagraph"/>
        <w:numPr>
          <w:ilvl w:val="0"/>
          <w:numId w:val="36"/>
        </w:numPr>
        <w:spacing w:before="360" w:after="240" w:line="360" w:lineRule="auto"/>
        <w:ind w:left="567" w:hanging="567"/>
        <w:contextualSpacing w:val="0"/>
        <w:jc w:val="both"/>
        <w:rPr>
          <w:rFonts w:ascii="Arial" w:hAnsi="Arial" w:cs="Arial"/>
          <w:sz w:val="24"/>
          <w:szCs w:val="24"/>
        </w:rPr>
      </w:pPr>
      <w:r w:rsidRPr="00615CEC">
        <w:rPr>
          <w:rFonts w:ascii="Arial" w:hAnsi="Arial" w:cs="Arial"/>
          <w:sz w:val="24"/>
          <w:szCs w:val="24"/>
        </w:rPr>
        <w:t xml:space="preserve">It </w:t>
      </w:r>
      <w:r w:rsidR="001140B4">
        <w:rPr>
          <w:rFonts w:ascii="Arial" w:hAnsi="Arial" w:cs="Arial"/>
          <w:sz w:val="24"/>
          <w:szCs w:val="24"/>
        </w:rPr>
        <w:t>is important</w:t>
      </w:r>
      <w:r w:rsidR="00EC470C">
        <w:rPr>
          <w:rFonts w:ascii="Arial" w:hAnsi="Arial" w:cs="Arial"/>
          <w:sz w:val="24"/>
          <w:szCs w:val="24"/>
        </w:rPr>
        <w:t xml:space="preserve"> to note that each C</w:t>
      </w:r>
      <w:r w:rsidRPr="00615CEC">
        <w:rPr>
          <w:rFonts w:ascii="Arial" w:hAnsi="Arial" w:cs="Arial"/>
          <w:sz w:val="24"/>
          <w:szCs w:val="24"/>
        </w:rPr>
        <w:t>ouncil</w:t>
      </w:r>
      <w:r w:rsidR="00EC470C">
        <w:rPr>
          <w:rFonts w:ascii="Arial" w:hAnsi="Arial" w:cs="Arial"/>
          <w:sz w:val="24"/>
          <w:szCs w:val="24"/>
        </w:rPr>
        <w:t xml:space="preserve"> </w:t>
      </w:r>
      <w:r w:rsidRPr="00615CEC">
        <w:rPr>
          <w:rFonts w:ascii="Arial" w:hAnsi="Arial" w:cs="Arial"/>
          <w:sz w:val="24"/>
          <w:szCs w:val="24"/>
        </w:rPr>
        <w:t>/</w:t>
      </w:r>
      <w:r w:rsidR="00EC470C">
        <w:rPr>
          <w:rFonts w:ascii="Arial" w:hAnsi="Arial" w:cs="Arial"/>
          <w:sz w:val="24"/>
          <w:szCs w:val="24"/>
        </w:rPr>
        <w:t xml:space="preserve"> B</w:t>
      </w:r>
      <w:r w:rsidRPr="00615CEC">
        <w:rPr>
          <w:rFonts w:ascii="Arial" w:hAnsi="Arial" w:cs="Arial"/>
          <w:sz w:val="24"/>
          <w:szCs w:val="24"/>
        </w:rPr>
        <w:t xml:space="preserve">oard of a public entity in terms of the Public Finance </w:t>
      </w:r>
      <w:r w:rsidR="001140B4" w:rsidRPr="00615CEC">
        <w:rPr>
          <w:rFonts w:ascii="Arial" w:hAnsi="Arial" w:cs="Arial"/>
          <w:sz w:val="24"/>
          <w:szCs w:val="24"/>
        </w:rPr>
        <w:t xml:space="preserve">Management </w:t>
      </w:r>
      <w:r w:rsidR="001140B4">
        <w:rPr>
          <w:rFonts w:ascii="Arial" w:hAnsi="Arial" w:cs="Arial"/>
          <w:sz w:val="24"/>
          <w:szCs w:val="24"/>
        </w:rPr>
        <w:t xml:space="preserve">Act, </w:t>
      </w:r>
      <w:r w:rsidR="001140B4" w:rsidRPr="001140B4">
        <w:rPr>
          <w:rFonts w:ascii="Arial" w:hAnsi="Arial" w:cs="Arial"/>
          <w:sz w:val="24"/>
          <w:szCs w:val="24"/>
        </w:rPr>
        <w:t>1999 (Act No. 1 of 1999)</w:t>
      </w:r>
      <w:r w:rsidR="001140B4" w:rsidRPr="00615CEC">
        <w:rPr>
          <w:rFonts w:ascii="Arial" w:hAnsi="Arial" w:cs="Arial"/>
          <w:sz w:val="24"/>
          <w:szCs w:val="24"/>
        </w:rPr>
        <w:t xml:space="preserve"> </w:t>
      </w:r>
      <w:r w:rsidRPr="00615CEC">
        <w:rPr>
          <w:rFonts w:ascii="Arial" w:hAnsi="Arial" w:cs="Arial"/>
          <w:sz w:val="24"/>
          <w:szCs w:val="24"/>
        </w:rPr>
        <w:t>is accountable for the operations of the entity.</w:t>
      </w:r>
    </w:p>
    <w:p w:rsidR="006C30A0" w:rsidRPr="00EE4F7A" w:rsidRDefault="001140B4" w:rsidP="00615CEC">
      <w:pPr>
        <w:spacing w:after="240" w:line="360" w:lineRule="auto"/>
        <w:ind w:left="567"/>
        <w:jc w:val="both"/>
        <w:rPr>
          <w:rFonts w:ascii="Arial" w:hAnsi="Arial" w:cs="Arial"/>
          <w:b/>
          <w:sz w:val="24"/>
          <w:szCs w:val="24"/>
        </w:rPr>
      </w:pPr>
      <w:r>
        <w:rPr>
          <w:rFonts w:ascii="Arial" w:hAnsi="Arial" w:cs="Arial"/>
          <w:sz w:val="24"/>
          <w:szCs w:val="24"/>
        </w:rPr>
        <w:t>The</w:t>
      </w:r>
      <w:r w:rsidR="00CB3E8E" w:rsidRPr="00EE4F7A">
        <w:rPr>
          <w:rFonts w:ascii="Arial" w:hAnsi="Arial" w:cs="Arial"/>
          <w:sz w:val="24"/>
          <w:szCs w:val="24"/>
        </w:rPr>
        <w:t xml:space="preserve"> Department will issue a</w:t>
      </w:r>
      <w:r w:rsidR="00DD5373" w:rsidRPr="00EE4F7A">
        <w:rPr>
          <w:rFonts w:ascii="Arial" w:hAnsi="Arial" w:cs="Arial"/>
          <w:sz w:val="24"/>
          <w:szCs w:val="24"/>
        </w:rPr>
        <w:t xml:space="preserve"> circular addressed to all public entities reporting to </w:t>
      </w:r>
      <w:r w:rsidR="00D65EA6">
        <w:rPr>
          <w:rFonts w:ascii="Arial" w:hAnsi="Arial" w:cs="Arial"/>
          <w:sz w:val="24"/>
          <w:szCs w:val="24"/>
        </w:rPr>
        <w:t xml:space="preserve">it </w:t>
      </w:r>
      <w:r w:rsidR="00DD5373" w:rsidRPr="00EE4F7A">
        <w:rPr>
          <w:rFonts w:ascii="Arial" w:hAnsi="Arial" w:cs="Arial"/>
          <w:sz w:val="24"/>
          <w:szCs w:val="24"/>
        </w:rPr>
        <w:t xml:space="preserve">to put measures in place to prevent the delay of payments for valid invoices </w:t>
      </w:r>
      <w:r w:rsidR="00D65EA6">
        <w:rPr>
          <w:rFonts w:ascii="Arial" w:hAnsi="Arial" w:cs="Arial"/>
          <w:sz w:val="24"/>
          <w:szCs w:val="24"/>
        </w:rPr>
        <w:t xml:space="preserve">by no </w:t>
      </w:r>
      <w:r w:rsidR="00DD5373" w:rsidRPr="00EE4F7A">
        <w:rPr>
          <w:rFonts w:ascii="Arial" w:hAnsi="Arial" w:cs="Arial"/>
          <w:sz w:val="24"/>
          <w:szCs w:val="24"/>
        </w:rPr>
        <w:t xml:space="preserve">later than 30 days. Public entities </w:t>
      </w:r>
      <w:r w:rsidR="00CB3E8E" w:rsidRPr="00EE4F7A">
        <w:rPr>
          <w:rFonts w:ascii="Arial" w:hAnsi="Arial" w:cs="Arial"/>
          <w:sz w:val="24"/>
          <w:szCs w:val="24"/>
        </w:rPr>
        <w:t>will also be</w:t>
      </w:r>
      <w:r w:rsidR="00DD5373" w:rsidRPr="00EE4F7A">
        <w:rPr>
          <w:rFonts w:ascii="Arial" w:hAnsi="Arial" w:cs="Arial"/>
          <w:sz w:val="24"/>
          <w:szCs w:val="24"/>
        </w:rPr>
        <w:t xml:space="preserve"> requested to provide an age analysis of outstanding invoices </w:t>
      </w:r>
      <w:r w:rsidR="00D65EA6">
        <w:rPr>
          <w:rFonts w:ascii="Arial" w:hAnsi="Arial" w:cs="Arial"/>
          <w:sz w:val="24"/>
          <w:szCs w:val="24"/>
        </w:rPr>
        <w:t xml:space="preserve">together </w:t>
      </w:r>
      <w:r w:rsidR="00CB3E8E" w:rsidRPr="00EE4F7A">
        <w:rPr>
          <w:rFonts w:ascii="Arial" w:hAnsi="Arial" w:cs="Arial"/>
          <w:sz w:val="24"/>
          <w:szCs w:val="24"/>
        </w:rPr>
        <w:t xml:space="preserve">with </w:t>
      </w:r>
      <w:r w:rsidR="00DD5373" w:rsidRPr="00EE4F7A">
        <w:rPr>
          <w:rFonts w:ascii="Arial" w:hAnsi="Arial" w:cs="Arial"/>
          <w:sz w:val="24"/>
          <w:szCs w:val="24"/>
        </w:rPr>
        <w:t xml:space="preserve">their </w:t>
      </w:r>
      <w:r w:rsidR="00CB3E8E" w:rsidRPr="00EE4F7A">
        <w:rPr>
          <w:rFonts w:ascii="Arial" w:hAnsi="Arial" w:cs="Arial"/>
          <w:sz w:val="24"/>
          <w:szCs w:val="24"/>
        </w:rPr>
        <w:t xml:space="preserve">respective </w:t>
      </w:r>
      <w:r w:rsidR="00DD5373" w:rsidRPr="00EE4F7A">
        <w:rPr>
          <w:rFonts w:ascii="Arial" w:hAnsi="Arial" w:cs="Arial"/>
          <w:sz w:val="24"/>
          <w:szCs w:val="24"/>
        </w:rPr>
        <w:t xml:space="preserve">quarterly reports. </w:t>
      </w:r>
      <w:bookmarkStart w:id="0" w:name="_GoBack"/>
      <w:bookmarkEnd w:id="0"/>
    </w:p>
    <w:sectPr w:rsidR="006C30A0" w:rsidRPr="00EE4F7A" w:rsidSect="00722AC2">
      <w:footerReference w:type="defaul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83" w:rsidRDefault="00F80583" w:rsidP="00722AC2">
      <w:pPr>
        <w:spacing w:after="0" w:line="240" w:lineRule="auto"/>
      </w:pPr>
      <w:r>
        <w:separator/>
      </w:r>
    </w:p>
  </w:endnote>
  <w:endnote w:type="continuationSeparator" w:id="0">
    <w:p w:rsidR="00F80583" w:rsidRDefault="00F80583" w:rsidP="0072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61148"/>
      <w:docPartObj>
        <w:docPartGallery w:val="Page Numbers (Bottom of Page)"/>
        <w:docPartUnique/>
      </w:docPartObj>
    </w:sdtPr>
    <w:sdtEndPr>
      <w:rPr>
        <w:noProof/>
      </w:rPr>
    </w:sdtEndPr>
    <w:sdtContent>
      <w:p w:rsidR="00722AC2" w:rsidRDefault="00F80583">
        <w:pPr>
          <w:pStyle w:val="Footer"/>
          <w:jc w:val="right"/>
        </w:pPr>
      </w:p>
    </w:sdtContent>
  </w:sdt>
  <w:p w:rsidR="00722AC2" w:rsidRDefault="00722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83" w:rsidRDefault="00F80583" w:rsidP="00722AC2">
      <w:pPr>
        <w:spacing w:after="0" w:line="240" w:lineRule="auto"/>
      </w:pPr>
      <w:r>
        <w:separator/>
      </w:r>
    </w:p>
  </w:footnote>
  <w:footnote w:type="continuationSeparator" w:id="0">
    <w:p w:rsidR="00F80583" w:rsidRDefault="00F80583" w:rsidP="00722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C86"/>
    <w:multiLevelType w:val="hybridMultilevel"/>
    <w:tmpl w:val="C0FC27F0"/>
    <w:lvl w:ilvl="0" w:tplc="B91618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0F2424"/>
    <w:multiLevelType w:val="hybridMultilevel"/>
    <w:tmpl w:val="B3FAF5BA"/>
    <w:lvl w:ilvl="0" w:tplc="F286C9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nsid w:val="059851C5"/>
    <w:multiLevelType w:val="hybridMultilevel"/>
    <w:tmpl w:val="77766A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64C317C"/>
    <w:multiLevelType w:val="hybridMultilevel"/>
    <w:tmpl w:val="327E8DFC"/>
    <w:lvl w:ilvl="0" w:tplc="1C090001">
      <w:start w:val="1"/>
      <w:numFmt w:val="bullet"/>
      <w:lvlText w:val=""/>
      <w:lvlJc w:val="left"/>
      <w:pPr>
        <w:ind w:left="1145" w:hanging="360"/>
      </w:pPr>
      <w:rPr>
        <w:rFonts w:ascii="Symbol" w:hAnsi="Symbol" w:hint="default"/>
      </w:rPr>
    </w:lvl>
    <w:lvl w:ilvl="1" w:tplc="1C090003" w:tentative="1">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5">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D1D3E92"/>
    <w:multiLevelType w:val="hybridMultilevel"/>
    <w:tmpl w:val="36B88CCC"/>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D2E4FC0"/>
    <w:multiLevelType w:val="hybridMultilevel"/>
    <w:tmpl w:val="A7305AAA"/>
    <w:lvl w:ilvl="0" w:tplc="95FEB54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F491346"/>
    <w:multiLevelType w:val="hybridMultilevel"/>
    <w:tmpl w:val="03985F8E"/>
    <w:lvl w:ilvl="0" w:tplc="11ECE5AE">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F6252C8"/>
    <w:multiLevelType w:val="hybridMultilevel"/>
    <w:tmpl w:val="A8680C76"/>
    <w:lvl w:ilvl="0" w:tplc="4030F4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7E269B"/>
    <w:multiLevelType w:val="hybridMultilevel"/>
    <w:tmpl w:val="7452ED40"/>
    <w:lvl w:ilvl="0" w:tplc="34DE7B8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nsid w:val="2AE95D5B"/>
    <w:multiLevelType w:val="hybridMultilevel"/>
    <w:tmpl w:val="D06E9B7C"/>
    <w:lvl w:ilvl="0" w:tplc="1C09000F">
      <w:start w:val="1"/>
      <w:numFmt w:val="decimal"/>
      <w:lvlText w:val="%1."/>
      <w:lvlJc w:val="left"/>
      <w:pPr>
        <w:ind w:left="5823" w:hanging="360"/>
      </w:pPr>
      <w:rPr>
        <w:rFonts w:hint="default"/>
      </w:rPr>
    </w:lvl>
    <w:lvl w:ilvl="1" w:tplc="1C090019" w:tentative="1">
      <w:start w:val="1"/>
      <w:numFmt w:val="lowerLetter"/>
      <w:lvlText w:val="%2."/>
      <w:lvlJc w:val="left"/>
      <w:pPr>
        <w:ind w:left="6543" w:hanging="360"/>
      </w:pPr>
    </w:lvl>
    <w:lvl w:ilvl="2" w:tplc="1C09001B" w:tentative="1">
      <w:start w:val="1"/>
      <w:numFmt w:val="lowerRoman"/>
      <w:lvlText w:val="%3."/>
      <w:lvlJc w:val="right"/>
      <w:pPr>
        <w:ind w:left="7263" w:hanging="180"/>
      </w:pPr>
    </w:lvl>
    <w:lvl w:ilvl="3" w:tplc="1C09000F" w:tentative="1">
      <w:start w:val="1"/>
      <w:numFmt w:val="decimal"/>
      <w:lvlText w:val="%4."/>
      <w:lvlJc w:val="left"/>
      <w:pPr>
        <w:ind w:left="7983" w:hanging="360"/>
      </w:pPr>
    </w:lvl>
    <w:lvl w:ilvl="4" w:tplc="1C090019" w:tentative="1">
      <w:start w:val="1"/>
      <w:numFmt w:val="lowerLetter"/>
      <w:lvlText w:val="%5."/>
      <w:lvlJc w:val="left"/>
      <w:pPr>
        <w:ind w:left="8703" w:hanging="360"/>
      </w:pPr>
    </w:lvl>
    <w:lvl w:ilvl="5" w:tplc="1C09001B" w:tentative="1">
      <w:start w:val="1"/>
      <w:numFmt w:val="lowerRoman"/>
      <w:lvlText w:val="%6."/>
      <w:lvlJc w:val="right"/>
      <w:pPr>
        <w:ind w:left="9423" w:hanging="180"/>
      </w:pPr>
    </w:lvl>
    <w:lvl w:ilvl="6" w:tplc="1C09000F" w:tentative="1">
      <w:start w:val="1"/>
      <w:numFmt w:val="decimal"/>
      <w:lvlText w:val="%7."/>
      <w:lvlJc w:val="left"/>
      <w:pPr>
        <w:ind w:left="10143" w:hanging="360"/>
      </w:pPr>
    </w:lvl>
    <w:lvl w:ilvl="7" w:tplc="1C090019" w:tentative="1">
      <w:start w:val="1"/>
      <w:numFmt w:val="lowerLetter"/>
      <w:lvlText w:val="%8."/>
      <w:lvlJc w:val="left"/>
      <w:pPr>
        <w:ind w:left="10863" w:hanging="360"/>
      </w:pPr>
    </w:lvl>
    <w:lvl w:ilvl="8" w:tplc="1C09001B" w:tentative="1">
      <w:start w:val="1"/>
      <w:numFmt w:val="lowerRoman"/>
      <w:lvlText w:val="%9."/>
      <w:lvlJc w:val="right"/>
      <w:pPr>
        <w:ind w:left="11583" w:hanging="18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37A7C30"/>
    <w:multiLevelType w:val="hybridMultilevel"/>
    <w:tmpl w:val="1400C44C"/>
    <w:lvl w:ilvl="0" w:tplc="8362AE4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F94142"/>
    <w:multiLevelType w:val="hybridMultilevel"/>
    <w:tmpl w:val="71845046"/>
    <w:lvl w:ilvl="0" w:tplc="4030F4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C537B4"/>
    <w:multiLevelType w:val="hybridMultilevel"/>
    <w:tmpl w:val="5B286896"/>
    <w:lvl w:ilvl="0" w:tplc="B270E0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1008F0"/>
    <w:multiLevelType w:val="hybridMultilevel"/>
    <w:tmpl w:val="09E851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3">
    <w:nsid w:val="4ED32A7B"/>
    <w:multiLevelType w:val="hybridMultilevel"/>
    <w:tmpl w:val="194A7A82"/>
    <w:lvl w:ilvl="0" w:tplc="24A2CC5A">
      <w:start w:val="1"/>
      <w:numFmt w:val="lowerLetter"/>
      <w:lvlText w:val="(%1)"/>
      <w:lvlJc w:val="left"/>
      <w:pPr>
        <w:ind w:left="948" w:hanging="360"/>
      </w:pPr>
      <w:rPr>
        <w:rFonts w:hint="default"/>
      </w:rPr>
    </w:lvl>
    <w:lvl w:ilvl="1" w:tplc="1C090019" w:tentative="1">
      <w:start w:val="1"/>
      <w:numFmt w:val="lowerLetter"/>
      <w:lvlText w:val="%2."/>
      <w:lvlJc w:val="left"/>
      <w:pPr>
        <w:ind w:left="1668" w:hanging="360"/>
      </w:pPr>
    </w:lvl>
    <w:lvl w:ilvl="2" w:tplc="1C09001B" w:tentative="1">
      <w:start w:val="1"/>
      <w:numFmt w:val="lowerRoman"/>
      <w:lvlText w:val="%3."/>
      <w:lvlJc w:val="right"/>
      <w:pPr>
        <w:ind w:left="2388" w:hanging="180"/>
      </w:pPr>
    </w:lvl>
    <w:lvl w:ilvl="3" w:tplc="1C09000F" w:tentative="1">
      <w:start w:val="1"/>
      <w:numFmt w:val="decimal"/>
      <w:lvlText w:val="%4."/>
      <w:lvlJc w:val="left"/>
      <w:pPr>
        <w:ind w:left="3108" w:hanging="360"/>
      </w:pPr>
    </w:lvl>
    <w:lvl w:ilvl="4" w:tplc="1C090019" w:tentative="1">
      <w:start w:val="1"/>
      <w:numFmt w:val="lowerLetter"/>
      <w:lvlText w:val="%5."/>
      <w:lvlJc w:val="left"/>
      <w:pPr>
        <w:ind w:left="3828" w:hanging="360"/>
      </w:pPr>
    </w:lvl>
    <w:lvl w:ilvl="5" w:tplc="1C09001B" w:tentative="1">
      <w:start w:val="1"/>
      <w:numFmt w:val="lowerRoman"/>
      <w:lvlText w:val="%6."/>
      <w:lvlJc w:val="right"/>
      <w:pPr>
        <w:ind w:left="4548" w:hanging="180"/>
      </w:pPr>
    </w:lvl>
    <w:lvl w:ilvl="6" w:tplc="1C09000F" w:tentative="1">
      <w:start w:val="1"/>
      <w:numFmt w:val="decimal"/>
      <w:lvlText w:val="%7."/>
      <w:lvlJc w:val="left"/>
      <w:pPr>
        <w:ind w:left="5268" w:hanging="360"/>
      </w:pPr>
    </w:lvl>
    <w:lvl w:ilvl="7" w:tplc="1C090019" w:tentative="1">
      <w:start w:val="1"/>
      <w:numFmt w:val="lowerLetter"/>
      <w:lvlText w:val="%8."/>
      <w:lvlJc w:val="left"/>
      <w:pPr>
        <w:ind w:left="5988" w:hanging="360"/>
      </w:pPr>
    </w:lvl>
    <w:lvl w:ilvl="8" w:tplc="1C09001B" w:tentative="1">
      <w:start w:val="1"/>
      <w:numFmt w:val="lowerRoman"/>
      <w:lvlText w:val="%9."/>
      <w:lvlJc w:val="right"/>
      <w:pPr>
        <w:ind w:left="6708" w:hanging="180"/>
      </w:pPr>
    </w:lvl>
  </w:abstractNum>
  <w:abstractNum w:abstractNumId="24">
    <w:nsid w:val="569608C5"/>
    <w:multiLevelType w:val="hybridMultilevel"/>
    <w:tmpl w:val="6690FF76"/>
    <w:lvl w:ilvl="0" w:tplc="737CBF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6">
    <w:nsid w:val="5CF72C10"/>
    <w:multiLevelType w:val="hybridMultilevel"/>
    <w:tmpl w:val="16C03B6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1024638"/>
    <w:multiLevelType w:val="hybridMultilevel"/>
    <w:tmpl w:val="CBBA57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7B66A9"/>
    <w:multiLevelType w:val="hybridMultilevel"/>
    <w:tmpl w:val="7D827916"/>
    <w:lvl w:ilvl="0" w:tplc="1C09000F">
      <w:start w:val="1"/>
      <w:numFmt w:val="decimal"/>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2F0E8D"/>
    <w:multiLevelType w:val="hybridMultilevel"/>
    <w:tmpl w:val="C1C2AC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4">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6">
    <w:nsid w:val="792848B3"/>
    <w:multiLevelType w:val="hybridMultilevel"/>
    <w:tmpl w:val="71286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AEB5464"/>
    <w:multiLevelType w:val="hybridMultilevel"/>
    <w:tmpl w:val="C6FAFEFA"/>
    <w:lvl w:ilvl="0" w:tplc="4CD60B98">
      <w:start w:val="1"/>
      <w:numFmt w:val="lowerLetter"/>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0">
    <w:nsid w:val="7C632EB5"/>
    <w:multiLevelType w:val="hybridMultilevel"/>
    <w:tmpl w:val="36B88CCC"/>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7C971184"/>
    <w:multiLevelType w:val="hybridMultilevel"/>
    <w:tmpl w:val="C32A9346"/>
    <w:lvl w:ilvl="0" w:tplc="3014D18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2"/>
  </w:num>
  <w:num w:numId="2">
    <w:abstractNumId w:val="42"/>
  </w:num>
  <w:num w:numId="3">
    <w:abstractNumId w:val="30"/>
  </w:num>
  <w:num w:numId="4">
    <w:abstractNumId w:val="10"/>
  </w:num>
  <w:num w:numId="5">
    <w:abstractNumId w:val="35"/>
  </w:num>
  <w:num w:numId="6">
    <w:abstractNumId w:val="25"/>
  </w:num>
  <w:num w:numId="7">
    <w:abstractNumId w:val="33"/>
  </w:num>
  <w:num w:numId="8">
    <w:abstractNumId w:val="22"/>
  </w:num>
  <w:num w:numId="9">
    <w:abstractNumId w:val="34"/>
  </w:num>
  <w:num w:numId="10">
    <w:abstractNumId w:val="14"/>
  </w:num>
  <w:num w:numId="11">
    <w:abstractNumId w:val="16"/>
  </w:num>
  <w:num w:numId="12">
    <w:abstractNumId w:val="5"/>
  </w:num>
  <w:num w:numId="13">
    <w:abstractNumId w:val="21"/>
  </w:num>
  <w:num w:numId="14">
    <w:abstractNumId w:val="32"/>
  </w:num>
  <w:num w:numId="15">
    <w:abstractNumId w:val="12"/>
  </w:num>
  <w:num w:numId="16">
    <w:abstractNumId w:val="37"/>
  </w:num>
  <w:num w:numId="17">
    <w:abstractNumId w:val="31"/>
  </w:num>
  <w:num w:numId="18">
    <w:abstractNumId w:val="38"/>
  </w:num>
  <w:num w:numId="19">
    <w:abstractNumId w:val="13"/>
  </w:num>
  <w:num w:numId="20">
    <w:abstractNumId w:val="28"/>
  </w:num>
  <w:num w:numId="21">
    <w:abstractNumId w:val="6"/>
  </w:num>
  <w:num w:numId="22">
    <w:abstractNumId w:val="40"/>
  </w:num>
  <w:num w:numId="23">
    <w:abstractNumId w:val="20"/>
  </w:num>
  <w:num w:numId="24">
    <w:abstractNumId w:val="18"/>
  </w:num>
  <w:num w:numId="25">
    <w:abstractNumId w:val="3"/>
  </w:num>
  <w:num w:numId="26">
    <w:abstractNumId w:val="1"/>
  </w:num>
  <w:num w:numId="27">
    <w:abstractNumId w:val="0"/>
  </w:num>
  <w:num w:numId="28">
    <w:abstractNumId w:val="17"/>
  </w:num>
  <w:num w:numId="29">
    <w:abstractNumId w:val="36"/>
  </w:num>
  <w:num w:numId="30">
    <w:abstractNumId w:val="27"/>
  </w:num>
  <w:num w:numId="31">
    <w:abstractNumId w:val="15"/>
  </w:num>
  <w:num w:numId="32">
    <w:abstractNumId w:val="41"/>
  </w:num>
  <w:num w:numId="33">
    <w:abstractNumId w:val="8"/>
  </w:num>
  <w:num w:numId="34">
    <w:abstractNumId w:val="26"/>
  </w:num>
  <w:num w:numId="35">
    <w:abstractNumId w:val="4"/>
  </w:num>
  <w:num w:numId="36">
    <w:abstractNumId w:val="24"/>
  </w:num>
  <w:num w:numId="37">
    <w:abstractNumId w:val="23"/>
  </w:num>
  <w:num w:numId="38">
    <w:abstractNumId w:val="39"/>
  </w:num>
  <w:num w:numId="39">
    <w:abstractNumId w:val="7"/>
  </w:num>
  <w:num w:numId="40">
    <w:abstractNumId w:val="11"/>
  </w:num>
  <w:num w:numId="41">
    <w:abstractNumId w:val="9"/>
  </w:num>
  <w:num w:numId="42">
    <w:abstractNumId w:val="19"/>
  </w:num>
  <w:num w:numId="43">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0FA3"/>
    <w:rsid w:val="00036A4D"/>
    <w:rsid w:val="0004093A"/>
    <w:rsid w:val="00042D11"/>
    <w:rsid w:val="0004639E"/>
    <w:rsid w:val="00052293"/>
    <w:rsid w:val="000568F9"/>
    <w:rsid w:val="000579B9"/>
    <w:rsid w:val="00057A15"/>
    <w:rsid w:val="00063A3A"/>
    <w:rsid w:val="00066BC3"/>
    <w:rsid w:val="000670B5"/>
    <w:rsid w:val="00070F6C"/>
    <w:rsid w:val="00075314"/>
    <w:rsid w:val="00083064"/>
    <w:rsid w:val="0008418B"/>
    <w:rsid w:val="0008426D"/>
    <w:rsid w:val="00086EC6"/>
    <w:rsid w:val="00087811"/>
    <w:rsid w:val="000A02C9"/>
    <w:rsid w:val="000A0D33"/>
    <w:rsid w:val="000A45E9"/>
    <w:rsid w:val="000A6F0E"/>
    <w:rsid w:val="000B221D"/>
    <w:rsid w:val="000B2D1B"/>
    <w:rsid w:val="000B5192"/>
    <w:rsid w:val="000B7312"/>
    <w:rsid w:val="000B7FB5"/>
    <w:rsid w:val="000C2A22"/>
    <w:rsid w:val="000C37CB"/>
    <w:rsid w:val="000D03E8"/>
    <w:rsid w:val="000D7B81"/>
    <w:rsid w:val="000E2985"/>
    <w:rsid w:val="000E44C0"/>
    <w:rsid w:val="000E44D4"/>
    <w:rsid w:val="000F4759"/>
    <w:rsid w:val="000F62AA"/>
    <w:rsid w:val="00101559"/>
    <w:rsid w:val="00102241"/>
    <w:rsid w:val="0010402E"/>
    <w:rsid w:val="0010795D"/>
    <w:rsid w:val="001140B4"/>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3B6"/>
    <w:rsid w:val="001915DA"/>
    <w:rsid w:val="00191755"/>
    <w:rsid w:val="00192ED1"/>
    <w:rsid w:val="001954F0"/>
    <w:rsid w:val="001958D8"/>
    <w:rsid w:val="00196461"/>
    <w:rsid w:val="001A01DC"/>
    <w:rsid w:val="001A06E7"/>
    <w:rsid w:val="001A1252"/>
    <w:rsid w:val="001A277A"/>
    <w:rsid w:val="001C33B5"/>
    <w:rsid w:val="001C6A3B"/>
    <w:rsid w:val="001C7AFC"/>
    <w:rsid w:val="001D356D"/>
    <w:rsid w:val="001D3D9C"/>
    <w:rsid w:val="001D6541"/>
    <w:rsid w:val="001D7C6A"/>
    <w:rsid w:val="001E0CB6"/>
    <w:rsid w:val="001E36DF"/>
    <w:rsid w:val="001E395A"/>
    <w:rsid w:val="001E4232"/>
    <w:rsid w:val="001E6697"/>
    <w:rsid w:val="001E6C23"/>
    <w:rsid w:val="001E6F96"/>
    <w:rsid w:val="001F2DE3"/>
    <w:rsid w:val="001F4B7D"/>
    <w:rsid w:val="001F6833"/>
    <w:rsid w:val="001F7DEE"/>
    <w:rsid w:val="0020681E"/>
    <w:rsid w:val="0020779F"/>
    <w:rsid w:val="00217678"/>
    <w:rsid w:val="00221DDC"/>
    <w:rsid w:val="00221F7C"/>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646"/>
    <w:rsid w:val="002F6B49"/>
    <w:rsid w:val="00300A04"/>
    <w:rsid w:val="00300C93"/>
    <w:rsid w:val="00305BF7"/>
    <w:rsid w:val="003103EA"/>
    <w:rsid w:val="00313A4B"/>
    <w:rsid w:val="00315B13"/>
    <w:rsid w:val="00317B06"/>
    <w:rsid w:val="00323D70"/>
    <w:rsid w:val="00323ED3"/>
    <w:rsid w:val="003309B5"/>
    <w:rsid w:val="003341B6"/>
    <w:rsid w:val="0033629B"/>
    <w:rsid w:val="00341E5E"/>
    <w:rsid w:val="00341E89"/>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459"/>
    <w:rsid w:val="003D7858"/>
    <w:rsid w:val="003D790C"/>
    <w:rsid w:val="003E2F70"/>
    <w:rsid w:val="003E455E"/>
    <w:rsid w:val="003E5454"/>
    <w:rsid w:val="003E78E1"/>
    <w:rsid w:val="003F325F"/>
    <w:rsid w:val="00405271"/>
    <w:rsid w:val="00410478"/>
    <w:rsid w:val="004118A0"/>
    <w:rsid w:val="004170C3"/>
    <w:rsid w:val="00422B30"/>
    <w:rsid w:val="00427BEF"/>
    <w:rsid w:val="004312FC"/>
    <w:rsid w:val="00431B32"/>
    <w:rsid w:val="00431B42"/>
    <w:rsid w:val="0043279D"/>
    <w:rsid w:val="00435E33"/>
    <w:rsid w:val="00437C21"/>
    <w:rsid w:val="004415BF"/>
    <w:rsid w:val="0044540F"/>
    <w:rsid w:val="004457FC"/>
    <w:rsid w:val="00451B1A"/>
    <w:rsid w:val="0045542D"/>
    <w:rsid w:val="00457688"/>
    <w:rsid w:val="004613BB"/>
    <w:rsid w:val="00463025"/>
    <w:rsid w:val="004672ED"/>
    <w:rsid w:val="004800DC"/>
    <w:rsid w:val="00491C5B"/>
    <w:rsid w:val="00492A36"/>
    <w:rsid w:val="00493F06"/>
    <w:rsid w:val="004965B4"/>
    <w:rsid w:val="004A043E"/>
    <w:rsid w:val="004A5705"/>
    <w:rsid w:val="004B7E13"/>
    <w:rsid w:val="004C4C1E"/>
    <w:rsid w:val="004C4F38"/>
    <w:rsid w:val="004C54F6"/>
    <w:rsid w:val="004D1ED6"/>
    <w:rsid w:val="004D2BE1"/>
    <w:rsid w:val="004D74FD"/>
    <w:rsid w:val="004E0458"/>
    <w:rsid w:val="00504B93"/>
    <w:rsid w:val="00506E45"/>
    <w:rsid w:val="005127E5"/>
    <w:rsid w:val="00512DE4"/>
    <w:rsid w:val="00514768"/>
    <w:rsid w:val="005223B8"/>
    <w:rsid w:val="0052254F"/>
    <w:rsid w:val="005237E8"/>
    <w:rsid w:val="00532713"/>
    <w:rsid w:val="005328DE"/>
    <w:rsid w:val="00542BB5"/>
    <w:rsid w:val="0054768E"/>
    <w:rsid w:val="00550767"/>
    <w:rsid w:val="00552E00"/>
    <w:rsid w:val="00555C31"/>
    <w:rsid w:val="005564D9"/>
    <w:rsid w:val="005577D9"/>
    <w:rsid w:val="0056647C"/>
    <w:rsid w:val="00571740"/>
    <w:rsid w:val="00574DBC"/>
    <w:rsid w:val="00585D0E"/>
    <w:rsid w:val="005920D5"/>
    <w:rsid w:val="005A1C6B"/>
    <w:rsid w:val="005A46E3"/>
    <w:rsid w:val="005A4A01"/>
    <w:rsid w:val="005B4004"/>
    <w:rsid w:val="005B6937"/>
    <w:rsid w:val="005B696E"/>
    <w:rsid w:val="005C0BA4"/>
    <w:rsid w:val="005C2051"/>
    <w:rsid w:val="005C4278"/>
    <w:rsid w:val="005C470D"/>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5CEC"/>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C30A0"/>
    <w:rsid w:val="006E3002"/>
    <w:rsid w:val="006E3244"/>
    <w:rsid w:val="006F3A6E"/>
    <w:rsid w:val="00700F5C"/>
    <w:rsid w:val="00702601"/>
    <w:rsid w:val="00702F9A"/>
    <w:rsid w:val="00703DAD"/>
    <w:rsid w:val="00706CA8"/>
    <w:rsid w:val="00707E92"/>
    <w:rsid w:val="007141FA"/>
    <w:rsid w:val="00714E5D"/>
    <w:rsid w:val="00714E82"/>
    <w:rsid w:val="0071591A"/>
    <w:rsid w:val="00716D6B"/>
    <w:rsid w:val="007218E4"/>
    <w:rsid w:val="00722AC2"/>
    <w:rsid w:val="0073126D"/>
    <w:rsid w:val="0073173A"/>
    <w:rsid w:val="00732CA9"/>
    <w:rsid w:val="0073499F"/>
    <w:rsid w:val="00740B88"/>
    <w:rsid w:val="00743818"/>
    <w:rsid w:val="00743B02"/>
    <w:rsid w:val="00744BEC"/>
    <w:rsid w:val="0075414E"/>
    <w:rsid w:val="007548A4"/>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3E8D"/>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AA8"/>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951B9"/>
    <w:rsid w:val="008A4422"/>
    <w:rsid w:val="008A5D41"/>
    <w:rsid w:val="008A666F"/>
    <w:rsid w:val="008B4C85"/>
    <w:rsid w:val="008B65EA"/>
    <w:rsid w:val="008B6923"/>
    <w:rsid w:val="008B6B7B"/>
    <w:rsid w:val="008C1D05"/>
    <w:rsid w:val="008C68C5"/>
    <w:rsid w:val="008C7A61"/>
    <w:rsid w:val="008C7B8D"/>
    <w:rsid w:val="008D1EC2"/>
    <w:rsid w:val="008D447B"/>
    <w:rsid w:val="008D4FC0"/>
    <w:rsid w:val="008D633E"/>
    <w:rsid w:val="008D7FB2"/>
    <w:rsid w:val="008E1777"/>
    <w:rsid w:val="008E5F73"/>
    <w:rsid w:val="008E7D59"/>
    <w:rsid w:val="008F42DA"/>
    <w:rsid w:val="008F624F"/>
    <w:rsid w:val="0090251A"/>
    <w:rsid w:val="009033B5"/>
    <w:rsid w:val="00905FB9"/>
    <w:rsid w:val="00906DE8"/>
    <w:rsid w:val="00907B99"/>
    <w:rsid w:val="009135C0"/>
    <w:rsid w:val="00914499"/>
    <w:rsid w:val="0092006D"/>
    <w:rsid w:val="00925943"/>
    <w:rsid w:val="00933AC1"/>
    <w:rsid w:val="00933C19"/>
    <w:rsid w:val="0093534E"/>
    <w:rsid w:val="00935CC4"/>
    <w:rsid w:val="00941524"/>
    <w:rsid w:val="00941C47"/>
    <w:rsid w:val="00944E86"/>
    <w:rsid w:val="00945E56"/>
    <w:rsid w:val="0095081D"/>
    <w:rsid w:val="00954F8E"/>
    <w:rsid w:val="009577F8"/>
    <w:rsid w:val="00963DA4"/>
    <w:rsid w:val="009642B8"/>
    <w:rsid w:val="00964F25"/>
    <w:rsid w:val="009668A7"/>
    <w:rsid w:val="00973501"/>
    <w:rsid w:val="009754EB"/>
    <w:rsid w:val="00983CE4"/>
    <w:rsid w:val="009849D9"/>
    <w:rsid w:val="00984DEB"/>
    <w:rsid w:val="009917C5"/>
    <w:rsid w:val="00991F59"/>
    <w:rsid w:val="009954C4"/>
    <w:rsid w:val="009A0102"/>
    <w:rsid w:val="009A0326"/>
    <w:rsid w:val="009A0B54"/>
    <w:rsid w:val="009A0F27"/>
    <w:rsid w:val="009A4385"/>
    <w:rsid w:val="009A7A51"/>
    <w:rsid w:val="009B0E09"/>
    <w:rsid w:val="009B13A3"/>
    <w:rsid w:val="009B4543"/>
    <w:rsid w:val="009C1C15"/>
    <w:rsid w:val="009C332A"/>
    <w:rsid w:val="009C3F49"/>
    <w:rsid w:val="009D010F"/>
    <w:rsid w:val="009D3C62"/>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1195"/>
    <w:rsid w:val="00A35E21"/>
    <w:rsid w:val="00A37101"/>
    <w:rsid w:val="00A37621"/>
    <w:rsid w:val="00A400AA"/>
    <w:rsid w:val="00A409B7"/>
    <w:rsid w:val="00A43312"/>
    <w:rsid w:val="00A4607B"/>
    <w:rsid w:val="00A51526"/>
    <w:rsid w:val="00A53CDA"/>
    <w:rsid w:val="00A545AF"/>
    <w:rsid w:val="00A55B89"/>
    <w:rsid w:val="00A65F22"/>
    <w:rsid w:val="00A7331F"/>
    <w:rsid w:val="00A73DAA"/>
    <w:rsid w:val="00A8120A"/>
    <w:rsid w:val="00A82043"/>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0AF7"/>
    <w:rsid w:val="00AE3241"/>
    <w:rsid w:val="00B02C57"/>
    <w:rsid w:val="00B10FD3"/>
    <w:rsid w:val="00B122E9"/>
    <w:rsid w:val="00B12389"/>
    <w:rsid w:val="00B16C29"/>
    <w:rsid w:val="00B20E3E"/>
    <w:rsid w:val="00B21893"/>
    <w:rsid w:val="00B25D9E"/>
    <w:rsid w:val="00B30C6E"/>
    <w:rsid w:val="00B3246D"/>
    <w:rsid w:val="00B32FD8"/>
    <w:rsid w:val="00B41483"/>
    <w:rsid w:val="00B4178D"/>
    <w:rsid w:val="00B42D63"/>
    <w:rsid w:val="00B43DD3"/>
    <w:rsid w:val="00B4760C"/>
    <w:rsid w:val="00B64A91"/>
    <w:rsid w:val="00B724AD"/>
    <w:rsid w:val="00B752D9"/>
    <w:rsid w:val="00B757E2"/>
    <w:rsid w:val="00B8067B"/>
    <w:rsid w:val="00B84F03"/>
    <w:rsid w:val="00B8505E"/>
    <w:rsid w:val="00B85534"/>
    <w:rsid w:val="00B85F42"/>
    <w:rsid w:val="00B86423"/>
    <w:rsid w:val="00B93D55"/>
    <w:rsid w:val="00B943F8"/>
    <w:rsid w:val="00B9731E"/>
    <w:rsid w:val="00BA0B15"/>
    <w:rsid w:val="00BA2FD9"/>
    <w:rsid w:val="00BA6814"/>
    <w:rsid w:val="00BB2D2A"/>
    <w:rsid w:val="00BB40C2"/>
    <w:rsid w:val="00BC0761"/>
    <w:rsid w:val="00BC0884"/>
    <w:rsid w:val="00BC40F8"/>
    <w:rsid w:val="00BC6170"/>
    <w:rsid w:val="00BD2317"/>
    <w:rsid w:val="00BD314D"/>
    <w:rsid w:val="00BE1AAF"/>
    <w:rsid w:val="00BE2524"/>
    <w:rsid w:val="00BE29D7"/>
    <w:rsid w:val="00BE7986"/>
    <w:rsid w:val="00BF0299"/>
    <w:rsid w:val="00BF5458"/>
    <w:rsid w:val="00C130D3"/>
    <w:rsid w:val="00C276B4"/>
    <w:rsid w:val="00C31C40"/>
    <w:rsid w:val="00C32CF5"/>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67459"/>
    <w:rsid w:val="00C7147D"/>
    <w:rsid w:val="00C71B91"/>
    <w:rsid w:val="00C72AC2"/>
    <w:rsid w:val="00C73D89"/>
    <w:rsid w:val="00C820B0"/>
    <w:rsid w:val="00C847AC"/>
    <w:rsid w:val="00C865AF"/>
    <w:rsid w:val="00C8668A"/>
    <w:rsid w:val="00C93B5C"/>
    <w:rsid w:val="00C9549B"/>
    <w:rsid w:val="00CA1F30"/>
    <w:rsid w:val="00CA541F"/>
    <w:rsid w:val="00CA6A41"/>
    <w:rsid w:val="00CB3E8E"/>
    <w:rsid w:val="00CB4850"/>
    <w:rsid w:val="00CB5B44"/>
    <w:rsid w:val="00CB7FE9"/>
    <w:rsid w:val="00CC0CBD"/>
    <w:rsid w:val="00CC52EC"/>
    <w:rsid w:val="00CC53DC"/>
    <w:rsid w:val="00CC7865"/>
    <w:rsid w:val="00CD2F05"/>
    <w:rsid w:val="00CD33AB"/>
    <w:rsid w:val="00CD33FE"/>
    <w:rsid w:val="00CD4602"/>
    <w:rsid w:val="00CD48D9"/>
    <w:rsid w:val="00CE323E"/>
    <w:rsid w:val="00CF0B4E"/>
    <w:rsid w:val="00CF5924"/>
    <w:rsid w:val="00D00C74"/>
    <w:rsid w:val="00D03C85"/>
    <w:rsid w:val="00D0621E"/>
    <w:rsid w:val="00D066CD"/>
    <w:rsid w:val="00D104BB"/>
    <w:rsid w:val="00D114C4"/>
    <w:rsid w:val="00D167B0"/>
    <w:rsid w:val="00D16EA0"/>
    <w:rsid w:val="00D27A1C"/>
    <w:rsid w:val="00D27EF0"/>
    <w:rsid w:val="00D31D31"/>
    <w:rsid w:val="00D322D6"/>
    <w:rsid w:val="00D33374"/>
    <w:rsid w:val="00D356B7"/>
    <w:rsid w:val="00D35872"/>
    <w:rsid w:val="00D376A7"/>
    <w:rsid w:val="00D42DA2"/>
    <w:rsid w:val="00D45989"/>
    <w:rsid w:val="00D50818"/>
    <w:rsid w:val="00D51384"/>
    <w:rsid w:val="00D516B0"/>
    <w:rsid w:val="00D53F58"/>
    <w:rsid w:val="00D62110"/>
    <w:rsid w:val="00D63390"/>
    <w:rsid w:val="00D6369F"/>
    <w:rsid w:val="00D65A88"/>
    <w:rsid w:val="00D65D79"/>
    <w:rsid w:val="00D65EA6"/>
    <w:rsid w:val="00D70136"/>
    <w:rsid w:val="00D757BE"/>
    <w:rsid w:val="00D80F72"/>
    <w:rsid w:val="00D812CE"/>
    <w:rsid w:val="00D847C6"/>
    <w:rsid w:val="00D85542"/>
    <w:rsid w:val="00D8583F"/>
    <w:rsid w:val="00D90D19"/>
    <w:rsid w:val="00D91E67"/>
    <w:rsid w:val="00D95878"/>
    <w:rsid w:val="00D96050"/>
    <w:rsid w:val="00DA34D8"/>
    <w:rsid w:val="00DA76F7"/>
    <w:rsid w:val="00DB0A5E"/>
    <w:rsid w:val="00DB3DE6"/>
    <w:rsid w:val="00DB497C"/>
    <w:rsid w:val="00DB7628"/>
    <w:rsid w:val="00DC256F"/>
    <w:rsid w:val="00DC28A1"/>
    <w:rsid w:val="00DC3665"/>
    <w:rsid w:val="00DC4578"/>
    <w:rsid w:val="00DD5373"/>
    <w:rsid w:val="00DD6D16"/>
    <w:rsid w:val="00DE0865"/>
    <w:rsid w:val="00DE6F6F"/>
    <w:rsid w:val="00DF55B9"/>
    <w:rsid w:val="00E02103"/>
    <w:rsid w:val="00E103E5"/>
    <w:rsid w:val="00E10E6A"/>
    <w:rsid w:val="00E17428"/>
    <w:rsid w:val="00E21B37"/>
    <w:rsid w:val="00E23B46"/>
    <w:rsid w:val="00E27922"/>
    <w:rsid w:val="00E30ADD"/>
    <w:rsid w:val="00E33981"/>
    <w:rsid w:val="00E34FBD"/>
    <w:rsid w:val="00E360EA"/>
    <w:rsid w:val="00E37034"/>
    <w:rsid w:val="00E50360"/>
    <w:rsid w:val="00E551C0"/>
    <w:rsid w:val="00E601E4"/>
    <w:rsid w:val="00E6381B"/>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3A16"/>
    <w:rsid w:val="00EB6030"/>
    <w:rsid w:val="00EC0BF2"/>
    <w:rsid w:val="00EC470C"/>
    <w:rsid w:val="00EC6E65"/>
    <w:rsid w:val="00ED188E"/>
    <w:rsid w:val="00ED3012"/>
    <w:rsid w:val="00ED55AA"/>
    <w:rsid w:val="00ED5C53"/>
    <w:rsid w:val="00EE020F"/>
    <w:rsid w:val="00EE0B7C"/>
    <w:rsid w:val="00EE1D4D"/>
    <w:rsid w:val="00EE3380"/>
    <w:rsid w:val="00EE3C27"/>
    <w:rsid w:val="00EE45C1"/>
    <w:rsid w:val="00EE4F7A"/>
    <w:rsid w:val="00EE5EB1"/>
    <w:rsid w:val="00EE60BC"/>
    <w:rsid w:val="00EF20B6"/>
    <w:rsid w:val="00EF63E0"/>
    <w:rsid w:val="00EF642C"/>
    <w:rsid w:val="00F00655"/>
    <w:rsid w:val="00F04C73"/>
    <w:rsid w:val="00F077DE"/>
    <w:rsid w:val="00F177A6"/>
    <w:rsid w:val="00F2208A"/>
    <w:rsid w:val="00F34F71"/>
    <w:rsid w:val="00F35781"/>
    <w:rsid w:val="00F454CC"/>
    <w:rsid w:val="00F46094"/>
    <w:rsid w:val="00F476E9"/>
    <w:rsid w:val="00F5542F"/>
    <w:rsid w:val="00F61F23"/>
    <w:rsid w:val="00F62865"/>
    <w:rsid w:val="00F6484F"/>
    <w:rsid w:val="00F6791F"/>
    <w:rsid w:val="00F73556"/>
    <w:rsid w:val="00F73D24"/>
    <w:rsid w:val="00F74316"/>
    <w:rsid w:val="00F774ED"/>
    <w:rsid w:val="00F80583"/>
    <w:rsid w:val="00F8115C"/>
    <w:rsid w:val="00F81CC3"/>
    <w:rsid w:val="00F850E2"/>
    <w:rsid w:val="00F85DFA"/>
    <w:rsid w:val="00F901D3"/>
    <w:rsid w:val="00F93BDA"/>
    <w:rsid w:val="00F93BDB"/>
    <w:rsid w:val="00F941B0"/>
    <w:rsid w:val="00F95079"/>
    <w:rsid w:val="00F95BB9"/>
    <w:rsid w:val="00FA13FD"/>
    <w:rsid w:val="00FA1432"/>
    <w:rsid w:val="00FA205D"/>
    <w:rsid w:val="00FA23D6"/>
    <w:rsid w:val="00FA3CFC"/>
    <w:rsid w:val="00FA63E7"/>
    <w:rsid w:val="00FB0272"/>
    <w:rsid w:val="00FB2BD5"/>
    <w:rsid w:val="00FB7359"/>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D3A6C-235F-4E59-BCF1-9619361E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paragraph" w:customStyle="1" w:styleId="Default">
    <w:name w:val="Default"/>
    <w:rsid w:val="007E3E8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22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AC2"/>
    <w:rPr>
      <w:rFonts w:cs="Calibri"/>
      <w:sz w:val="22"/>
      <w:szCs w:val="22"/>
      <w:lang w:val="en-GB" w:eastAsia="en-US"/>
    </w:rPr>
  </w:style>
  <w:style w:type="paragraph" w:styleId="Footer">
    <w:name w:val="footer"/>
    <w:basedOn w:val="Normal"/>
    <w:link w:val="FooterChar"/>
    <w:uiPriority w:val="99"/>
    <w:unhideWhenUsed/>
    <w:rsid w:val="00722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AC2"/>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480117581">
      <w:bodyDiv w:val="1"/>
      <w:marLeft w:val="0"/>
      <w:marRight w:val="0"/>
      <w:marTop w:val="0"/>
      <w:marBottom w:val="0"/>
      <w:divBdr>
        <w:top w:val="none" w:sz="0" w:space="0" w:color="auto"/>
        <w:left w:val="none" w:sz="0" w:space="0" w:color="auto"/>
        <w:bottom w:val="none" w:sz="0" w:space="0" w:color="auto"/>
        <w:right w:val="none" w:sz="0" w:space="0" w:color="auto"/>
      </w:divBdr>
    </w:div>
    <w:div w:id="57076946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15985685">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18489161">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DE2D-677B-4693-83CC-3DEA5B0A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September.L</cp:lastModifiedBy>
  <cp:revision>2</cp:revision>
  <cp:lastPrinted>2018-03-14T07:34:00Z</cp:lastPrinted>
  <dcterms:created xsi:type="dcterms:W3CDTF">2018-03-28T11:45:00Z</dcterms:created>
  <dcterms:modified xsi:type="dcterms:W3CDTF">2018-03-28T11:45:00Z</dcterms:modified>
</cp:coreProperties>
</file>