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94" w:rsidRPr="008424B4" w:rsidRDefault="00097E94" w:rsidP="00E53BF6">
      <w:pPr>
        <w:spacing w:after="0" w:line="240" w:lineRule="auto"/>
        <w:rPr>
          <w:rFonts w:ascii="Arial" w:hAnsi="Arial" w:cs="Arial"/>
          <w:b/>
          <w:sz w:val="24"/>
          <w:szCs w:val="24"/>
          <w:lang w:val="fr-FR"/>
        </w:rPr>
      </w:pPr>
      <w:bookmarkStart w:id="0" w:name="_GoBack"/>
      <w:bookmarkEnd w:id="0"/>
    </w:p>
    <w:p w:rsidR="00097E94" w:rsidRDefault="00097E94" w:rsidP="00E53BF6">
      <w:pPr>
        <w:spacing w:after="0" w:line="240" w:lineRule="auto"/>
        <w:rPr>
          <w:rFonts w:ascii="Arial" w:hAnsi="Arial" w:cs="Arial"/>
          <w:b/>
          <w:sz w:val="24"/>
          <w:szCs w:val="24"/>
          <w:lang w:val="fr-FR"/>
        </w:rPr>
      </w:pPr>
    </w:p>
    <w:p w:rsidR="00097E94" w:rsidRDefault="00097E94" w:rsidP="00E53BF6">
      <w:pPr>
        <w:spacing w:after="0" w:line="240" w:lineRule="auto"/>
        <w:rPr>
          <w:rFonts w:ascii="Arial" w:hAnsi="Arial" w:cs="Arial"/>
          <w:b/>
          <w:sz w:val="24"/>
          <w:szCs w:val="24"/>
          <w:lang w:val="fr-FR"/>
        </w:rPr>
      </w:pPr>
    </w:p>
    <w:p w:rsidR="00097E94" w:rsidRPr="0032538F" w:rsidRDefault="00097E94" w:rsidP="00E81167">
      <w:pPr>
        <w:spacing w:after="0" w:line="240" w:lineRule="auto"/>
        <w:jc w:val="both"/>
        <w:rPr>
          <w:rFonts w:ascii="Arial" w:hAnsi="Arial" w:cs="Arial"/>
        </w:rPr>
      </w:pPr>
    </w:p>
    <w:p w:rsidR="00097E94" w:rsidRPr="003450B0" w:rsidRDefault="00097E94"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097E94" w:rsidRPr="003450B0" w:rsidRDefault="00097E94" w:rsidP="00CC2FF9">
      <w:pPr>
        <w:pStyle w:val="Heading2"/>
        <w:tabs>
          <w:tab w:val="left" w:pos="5940"/>
        </w:tabs>
        <w:ind w:left="0" w:firstLine="0"/>
        <w:jc w:val="both"/>
        <w:rPr>
          <w:rFonts w:ascii="Arial" w:hAnsi="Arial" w:cs="Arial"/>
          <w:sz w:val="22"/>
          <w:szCs w:val="22"/>
          <w:lang w:val="en-ZA"/>
        </w:rPr>
      </w:pPr>
    </w:p>
    <w:p w:rsidR="00097E94" w:rsidRDefault="00097E94"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2749</w:t>
      </w:r>
    </w:p>
    <w:p w:rsidR="00097E94" w:rsidRPr="00361AC5" w:rsidRDefault="00097E94" w:rsidP="00361AC5">
      <w:pPr>
        <w:spacing w:before="100" w:beforeAutospacing="1" w:after="100" w:afterAutospacing="1" w:line="240" w:lineRule="auto"/>
        <w:jc w:val="both"/>
        <w:outlineLvl w:val="0"/>
        <w:rPr>
          <w:rFonts w:ascii="Arial" w:hAnsi="Arial" w:cs="Arial"/>
        </w:rPr>
      </w:pPr>
      <w:r w:rsidRPr="00361AC5">
        <w:rPr>
          <w:rFonts w:ascii="Arial" w:hAnsi="Arial" w:cs="Arial"/>
          <w:b/>
        </w:rPr>
        <w:t xml:space="preserve">Mr M S F de Freitas (DA) to </w:t>
      </w:r>
      <w:r w:rsidRPr="00361AC5">
        <w:rPr>
          <w:rFonts w:ascii="Arial" w:hAnsi="Arial" w:cs="Arial"/>
          <w:b/>
          <w:lang w:val="en-ZA"/>
        </w:rPr>
        <w:t>ask</w:t>
      </w:r>
      <w:r w:rsidRPr="00361AC5">
        <w:rPr>
          <w:rFonts w:ascii="Arial" w:hAnsi="Arial" w:cs="Arial"/>
          <w:b/>
        </w:rPr>
        <w:t xml:space="preserve"> the Minister of Transport:</w:t>
      </w:r>
    </w:p>
    <w:p w:rsidR="00097E94" w:rsidRPr="00361AC5" w:rsidRDefault="00097E94" w:rsidP="00361AC5">
      <w:pPr>
        <w:spacing w:before="100" w:beforeAutospacing="1" w:after="100" w:afterAutospacing="1" w:line="240" w:lineRule="auto"/>
        <w:ind w:left="720" w:hanging="720"/>
        <w:outlineLvl w:val="0"/>
        <w:rPr>
          <w:rFonts w:ascii="Arial" w:hAnsi="Arial" w:cs="Arial"/>
        </w:rPr>
      </w:pPr>
      <w:r w:rsidRPr="00361AC5">
        <w:rPr>
          <w:rFonts w:ascii="Arial" w:hAnsi="Arial" w:cs="Arial"/>
          <w:color w:val="000000"/>
        </w:rPr>
        <w:t>(</w:t>
      </w:r>
      <w:r>
        <w:rPr>
          <w:rFonts w:ascii="Arial" w:hAnsi="Arial" w:cs="Arial"/>
          <w:color w:val="000000"/>
        </w:rPr>
        <w:t>1</w:t>
      </w:r>
      <w:r w:rsidRPr="00361AC5">
        <w:rPr>
          <w:rFonts w:ascii="Arial" w:hAnsi="Arial" w:cs="Arial"/>
          <w:color w:val="000000"/>
        </w:rPr>
        <w:t>)</w:t>
      </w:r>
      <w:r w:rsidRPr="00361AC5">
        <w:rPr>
          <w:rFonts w:ascii="Arial" w:hAnsi="Arial" w:cs="Arial"/>
          <w:color w:val="000000"/>
        </w:rPr>
        <w:tab/>
        <w:t xml:space="preserve"> When were the respective certificates of compliance for the (i) Gauteng Open Road Tolling, (ii) Transaction Clearing House and (iii) Violations Processing Centre systems issued to the contractor(s) of each of the systems;</w:t>
      </w:r>
    </w:p>
    <w:p w:rsidR="00097E94" w:rsidRPr="00361AC5" w:rsidRDefault="00097E94" w:rsidP="00361AC5">
      <w:pPr>
        <w:spacing w:before="100" w:beforeAutospacing="1" w:after="100" w:afterAutospacing="1" w:line="240" w:lineRule="auto"/>
        <w:ind w:left="720" w:hanging="720"/>
        <w:rPr>
          <w:rFonts w:ascii="Arial" w:hAnsi="Arial" w:cs="Arial"/>
          <w:color w:val="000000"/>
        </w:rPr>
      </w:pPr>
      <w:r w:rsidRPr="00361AC5">
        <w:rPr>
          <w:rFonts w:ascii="Arial" w:hAnsi="Arial" w:cs="Arial"/>
          <w:color w:val="000000"/>
        </w:rPr>
        <w:t>(2)</w:t>
      </w:r>
      <w:r w:rsidRPr="00361AC5">
        <w:rPr>
          <w:rFonts w:ascii="Arial" w:hAnsi="Arial" w:cs="Arial"/>
          <w:color w:val="000000"/>
        </w:rPr>
        <w:tab/>
        <w:t>in each case, (a) who signed the specified certificates and (b) under what conditions were they issued;</w:t>
      </w:r>
    </w:p>
    <w:p w:rsidR="00097E94" w:rsidRPr="00361AC5" w:rsidRDefault="00097E94" w:rsidP="00361AC5">
      <w:pPr>
        <w:spacing w:before="100" w:beforeAutospacing="1" w:after="100" w:afterAutospacing="1" w:line="240" w:lineRule="auto"/>
        <w:ind w:left="720" w:hanging="720"/>
        <w:rPr>
          <w:rFonts w:ascii="Arial" w:hAnsi="Arial" w:cs="Arial"/>
          <w:color w:val="000000"/>
        </w:rPr>
      </w:pPr>
      <w:r w:rsidRPr="00361AC5">
        <w:rPr>
          <w:rFonts w:ascii="Arial" w:hAnsi="Arial" w:cs="Arial"/>
          <w:color w:val="000000"/>
        </w:rPr>
        <w:t>(3)</w:t>
      </w:r>
      <w:r w:rsidRPr="00361AC5">
        <w:rPr>
          <w:rFonts w:ascii="Arial" w:hAnsi="Arial" w:cs="Arial"/>
          <w:color w:val="000000"/>
        </w:rPr>
        <w:tab/>
        <w:t xml:space="preserve">(a) how many faults were outstanding by the launch date of 3 December 2013, (b) what were the faults with regard to each certificate and (c)(i) how many and (ii) which of the specified faults were </w:t>
      </w:r>
      <w:r w:rsidRPr="00361AC5">
        <w:rPr>
          <w:rFonts w:ascii="Arial" w:hAnsi="Arial" w:cs="Arial"/>
          <w:color w:val="000000"/>
          <w:lang w:val="en-GB"/>
        </w:rPr>
        <w:t>categorised</w:t>
      </w:r>
      <w:r w:rsidRPr="00361AC5">
        <w:rPr>
          <w:rFonts w:ascii="Arial" w:hAnsi="Arial" w:cs="Arial"/>
          <w:color w:val="000000"/>
        </w:rPr>
        <w:t xml:space="preserve"> as critical or serious faults;</w:t>
      </w:r>
    </w:p>
    <w:p w:rsidR="00097E94" w:rsidRPr="00361AC5" w:rsidRDefault="00097E94" w:rsidP="00361AC5">
      <w:pPr>
        <w:spacing w:before="100" w:beforeAutospacing="1" w:after="100" w:afterAutospacing="1" w:line="240" w:lineRule="auto"/>
        <w:ind w:left="720" w:hanging="720"/>
        <w:rPr>
          <w:rFonts w:ascii="Arial" w:hAnsi="Arial" w:cs="Arial"/>
        </w:rPr>
      </w:pPr>
      <w:r w:rsidRPr="00361AC5">
        <w:rPr>
          <w:rFonts w:ascii="Arial" w:hAnsi="Arial" w:cs="Arial"/>
          <w:color w:val="000000"/>
        </w:rPr>
        <w:t>(4)</w:t>
      </w:r>
      <w:r w:rsidRPr="00361AC5">
        <w:rPr>
          <w:rFonts w:ascii="Arial" w:hAnsi="Arial" w:cs="Arial"/>
          <w:color w:val="000000"/>
        </w:rPr>
        <w:tab/>
        <w:t>(a) why was each of the operations allowed to continue, (b) how was the contractor penalised in accordance with the rules of the International Federation of Consulting Engineers and (c) what were the actual (i) amounts and (ii) dates of payment releases to the contractor in respect of services provided for the period 1 July to 15 December 2013?</w:t>
      </w:r>
      <w:r w:rsidRPr="00361AC5">
        <w:rPr>
          <w:rFonts w:ascii="Arial" w:hAnsi="Arial" w:cs="Arial"/>
          <w:color w:val="000000"/>
        </w:rPr>
        <w:tab/>
      </w:r>
      <w:r w:rsidRPr="00361AC5">
        <w:rPr>
          <w:rFonts w:ascii="Arial" w:hAnsi="Arial" w:cs="Arial"/>
        </w:rPr>
        <w:tab/>
      </w:r>
      <w:r w:rsidRPr="00361AC5">
        <w:rPr>
          <w:rFonts w:ascii="Arial" w:hAnsi="Arial" w:cs="Arial"/>
          <w:sz w:val="20"/>
          <w:szCs w:val="20"/>
        </w:rPr>
        <w:t>NW3181E</w:t>
      </w:r>
    </w:p>
    <w:p w:rsidR="00097E94" w:rsidRPr="0011360F" w:rsidRDefault="00097E94" w:rsidP="00361AC5">
      <w:pPr>
        <w:rPr>
          <w:rFonts w:ascii="Arial" w:hAnsi="Arial" w:cs="Arial"/>
          <w:color w:val="000000"/>
        </w:rPr>
      </w:pPr>
    </w:p>
    <w:p w:rsidR="00097E94" w:rsidRPr="003A49C5" w:rsidRDefault="00097E94" w:rsidP="00740206">
      <w:pPr>
        <w:rPr>
          <w:rFonts w:ascii="Arial" w:hAnsi="Arial" w:cs="Arial"/>
          <w:b/>
          <w:color w:val="000000"/>
        </w:rPr>
      </w:pPr>
      <w:r w:rsidRPr="003A49C5">
        <w:rPr>
          <w:rFonts w:ascii="Arial" w:hAnsi="Arial" w:cs="Arial"/>
          <w:b/>
          <w:color w:val="000000"/>
        </w:rPr>
        <w:t xml:space="preserve">Responses to questions by Mr M S F de Freitas </w:t>
      </w:r>
    </w:p>
    <w:p w:rsidR="00097E94" w:rsidRPr="003A49C5" w:rsidRDefault="00097E94" w:rsidP="00922931">
      <w:pPr>
        <w:rPr>
          <w:rFonts w:ascii="Arial" w:hAnsi="Arial" w:cs="Arial"/>
          <w:color w:val="000000"/>
        </w:rPr>
      </w:pPr>
    </w:p>
    <w:p w:rsidR="00097E94" w:rsidRPr="0011360F" w:rsidRDefault="00097E94" w:rsidP="0011360F">
      <w:pPr>
        <w:spacing w:before="100" w:beforeAutospacing="1" w:after="100" w:afterAutospacing="1" w:line="240" w:lineRule="auto"/>
        <w:ind w:left="720" w:hanging="720"/>
        <w:rPr>
          <w:rFonts w:ascii="Arial" w:hAnsi="Arial" w:cs="Arial"/>
          <w:color w:val="000000"/>
        </w:rPr>
      </w:pPr>
      <w:r w:rsidRPr="003A49C5">
        <w:rPr>
          <w:rFonts w:ascii="Arial" w:hAnsi="Arial" w:cs="Arial"/>
          <w:color w:val="000000"/>
        </w:rPr>
        <w:t>(1)</w:t>
      </w:r>
      <w:r w:rsidRPr="003A49C5">
        <w:rPr>
          <w:rFonts w:ascii="Arial" w:hAnsi="Arial" w:cs="Arial"/>
          <w:color w:val="000000"/>
        </w:rPr>
        <w:tab/>
      </w:r>
      <w:r>
        <w:rPr>
          <w:rFonts w:ascii="Arial" w:hAnsi="Arial" w:cs="Arial"/>
          <w:color w:val="000000"/>
        </w:rPr>
        <w:t>The commissioning certificates were issued in sections and in accordance with the provisions of the FIDIC Conditions of Contract for design, build and operate projects (FIDIC), being the contract which applies to the project.  The commissioning certificate for the sections comprising the Gauteng Open Road Tolling system and the Transaction Clearing House was issued on 18 December 2013 and effective from 2 December 2013.  The section certificate for the relevant part of the Violations Processing Centre (VPC) was issued on 30 April 2015 and effective from 15 December 2014. Although the section of the system comprising the VPC was only commissioned with effect from 15 December 2014, it was considered ready for operation from toll commencement based on the contractor's confirmation (and extensive testing, trial operations and pilot testing) that the system and operations were ready from toll commencement. This all in accordance with FIDIC.</w:t>
      </w:r>
    </w:p>
    <w:p w:rsidR="00097E94" w:rsidRDefault="00097E94" w:rsidP="0011360F">
      <w:pPr>
        <w:spacing w:before="100" w:beforeAutospacing="1" w:after="100" w:afterAutospacing="1" w:line="240" w:lineRule="auto"/>
        <w:ind w:left="720" w:hanging="720"/>
        <w:rPr>
          <w:rFonts w:ascii="Arial" w:hAnsi="Arial" w:cs="Arial"/>
          <w:color w:val="000000"/>
        </w:rPr>
      </w:pPr>
      <w:r w:rsidRPr="0011360F">
        <w:rPr>
          <w:rFonts w:ascii="Arial" w:hAnsi="Arial" w:cs="Arial"/>
          <w:color w:val="000000"/>
        </w:rPr>
        <w:t>(2)</w:t>
      </w:r>
      <w:r w:rsidRPr="0011360F">
        <w:rPr>
          <w:rFonts w:ascii="Arial" w:hAnsi="Arial" w:cs="Arial"/>
          <w:color w:val="000000"/>
        </w:rPr>
        <w:tab/>
      </w:r>
      <w:r>
        <w:rPr>
          <w:rFonts w:ascii="Arial" w:hAnsi="Arial" w:cs="Arial"/>
          <w:color w:val="000000"/>
        </w:rPr>
        <w:t>The Employer's Representative, in terms of Sub clause 11.6 of FIDIC, issued the section commissioning certificates.  Certificates were issued were in terms of Sub clause 11.6 of FIDIC and that in terms of Sub clause 11.5 of FIDIC which provides that:</w:t>
      </w:r>
    </w:p>
    <w:p w:rsidR="00097E94" w:rsidRPr="0011360F" w:rsidRDefault="00097E94" w:rsidP="0011360F">
      <w:pPr>
        <w:spacing w:before="100" w:beforeAutospacing="1" w:after="100" w:afterAutospacing="1" w:line="240" w:lineRule="auto"/>
        <w:ind w:left="1440" w:hanging="720"/>
        <w:rPr>
          <w:rFonts w:ascii="Arial" w:hAnsi="Arial" w:cs="Arial"/>
          <w:i/>
          <w:color w:val="000000"/>
        </w:rPr>
      </w:pPr>
      <w:r w:rsidRPr="0011360F">
        <w:rPr>
          <w:rFonts w:ascii="Arial" w:hAnsi="Arial" w:cs="Arial"/>
          <w:i/>
          <w:color w:val="000000"/>
        </w:rPr>
        <w:t>"i.</w:t>
      </w:r>
      <w:r w:rsidRPr="0011360F">
        <w:rPr>
          <w:rFonts w:ascii="Arial" w:hAnsi="Arial" w:cs="Arial"/>
          <w:i/>
          <w:color w:val="000000"/>
        </w:rPr>
        <w:tab/>
        <w:t>Issue the Commissioning Certificate to the Contractor, stating the date on which the Works or Section were completed in accordance with the Contract, except for any minor outstanding work and defects which will not substantially affect the use of the Works or Section for their intended purpose…"</w:t>
      </w:r>
    </w:p>
    <w:p w:rsidR="00097E94" w:rsidRDefault="00097E94" w:rsidP="0011360F">
      <w:pPr>
        <w:spacing w:before="100" w:beforeAutospacing="1" w:after="100" w:afterAutospacing="1" w:line="240" w:lineRule="auto"/>
        <w:ind w:left="720" w:hanging="720"/>
        <w:rPr>
          <w:rFonts w:ascii="Arial" w:hAnsi="Arial" w:cs="Arial"/>
          <w:color w:val="000000"/>
        </w:rPr>
      </w:pPr>
      <w:r w:rsidRPr="0011360F">
        <w:rPr>
          <w:rFonts w:ascii="Arial" w:hAnsi="Arial" w:cs="Arial"/>
          <w:color w:val="000000"/>
        </w:rPr>
        <w:t>(3)</w:t>
      </w:r>
      <w:r w:rsidRPr="0011360F">
        <w:rPr>
          <w:rFonts w:ascii="Arial" w:hAnsi="Arial" w:cs="Arial"/>
          <w:color w:val="000000"/>
        </w:rPr>
        <w:tab/>
      </w:r>
      <w:r>
        <w:rPr>
          <w:rFonts w:ascii="Arial" w:hAnsi="Arial" w:cs="Arial"/>
          <w:color w:val="000000"/>
        </w:rPr>
        <w:t>There were no "faults" outstanding on the launch date of 3 December 2013.  FIDIC contemplates and as will be appreciated from the section of FIDIC recorded above, that the commissioning certificates are issued subject to certain outstanding work and defects.  This is addressed in Clause 12 of FIDIC and this is the basis upon which the section completion certificates were issued.</w:t>
      </w:r>
    </w:p>
    <w:p w:rsidR="00097E94" w:rsidRDefault="00097E94" w:rsidP="0011360F">
      <w:pPr>
        <w:spacing w:before="100" w:beforeAutospacing="1" w:after="100" w:afterAutospacing="1" w:line="240" w:lineRule="auto"/>
        <w:ind w:left="720" w:hanging="720"/>
        <w:rPr>
          <w:rFonts w:ascii="Arial" w:hAnsi="Arial" w:cs="Arial"/>
          <w:color w:val="000000"/>
        </w:rPr>
      </w:pPr>
      <w:r>
        <w:rPr>
          <w:rFonts w:ascii="Arial" w:hAnsi="Arial" w:cs="Arial"/>
          <w:color w:val="000000"/>
        </w:rPr>
        <w:t>(4)</w:t>
      </w:r>
      <w:r>
        <w:rPr>
          <w:rFonts w:ascii="Arial" w:hAnsi="Arial" w:cs="Arial"/>
          <w:color w:val="000000"/>
        </w:rPr>
        <w:tab/>
        <w:t>The operations continued based on the requirements of FIDIC and the issuing of the requisite commissioning certificates.  Delays were dealt with in accordance with the delay damages provisions of the contract and  were applied accordingly where delay occurred.  For the period 1 July 2013 to 15 December 2013 the following amounts were paid to the contractor in respect of the services provided.</w:t>
      </w:r>
    </w:p>
    <w:p w:rsidR="00097E94" w:rsidRDefault="00097E94" w:rsidP="0011360F">
      <w:pPr>
        <w:spacing w:before="100" w:beforeAutospacing="1" w:after="100" w:afterAutospacing="1" w:line="240" w:lineRule="auto"/>
        <w:ind w:left="720" w:hanging="720"/>
        <w:rPr>
          <w:rFonts w:ascii="Arial" w:hAnsi="Arial" w:cs="Arial"/>
          <w:color w:val="000000"/>
        </w:rPr>
      </w:pPr>
      <w:r>
        <w:rPr>
          <w:rFonts w:ascii="Arial" w:hAnsi="Arial" w:cs="Arial"/>
          <w:color w:val="000000"/>
        </w:rPr>
        <w:tab/>
      </w:r>
    </w:p>
    <w:tbl>
      <w:tblPr>
        <w:tblW w:w="6095" w:type="dxa"/>
        <w:tblInd w:w="817" w:type="dxa"/>
        <w:tblLook w:val="00A0"/>
      </w:tblPr>
      <w:tblGrid>
        <w:gridCol w:w="1985"/>
        <w:gridCol w:w="4110"/>
      </w:tblGrid>
      <w:tr w:rsidR="00097E94" w:rsidRPr="00CB35CE" w:rsidTr="00382647">
        <w:trPr>
          <w:trHeight w:val="290"/>
        </w:trPr>
        <w:tc>
          <w:tcPr>
            <w:tcW w:w="1985" w:type="dxa"/>
            <w:tcBorders>
              <w:top w:val="single" w:sz="4" w:space="0" w:color="000000"/>
              <w:left w:val="single" w:sz="4" w:space="0" w:color="000000"/>
              <w:bottom w:val="single" w:sz="4" w:space="0" w:color="000000"/>
              <w:right w:val="single" w:sz="4" w:space="0" w:color="000000"/>
            </w:tcBorders>
            <w:vAlign w:val="center"/>
          </w:tcPr>
          <w:p w:rsidR="00097E94" w:rsidRDefault="00097E94">
            <w:pPr>
              <w:spacing w:after="0" w:line="240" w:lineRule="auto"/>
              <w:rPr>
                <w:rFonts w:eastAsia="Times New Roman" w:cs="Arial"/>
                <w:b/>
                <w:sz w:val="20"/>
                <w:szCs w:val="20"/>
                <w:lang w:eastAsia="en-ZA"/>
              </w:rPr>
            </w:pPr>
            <w:r>
              <w:rPr>
                <w:rFonts w:eastAsia="Times New Roman" w:cs="Arial"/>
                <w:b/>
                <w:sz w:val="20"/>
                <w:szCs w:val="20"/>
                <w:lang w:eastAsia="en-ZA"/>
              </w:rPr>
              <w:t>Month</w:t>
            </w:r>
          </w:p>
        </w:tc>
        <w:tc>
          <w:tcPr>
            <w:tcW w:w="4110" w:type="dxa"/>
            <w:tcBorders>
              <w:top w:val="single" w:sz="4" w:space="0" w:color="auto"/>
              <w:left w:val="nil"/>
              <w:bottom w:val="single" w:sz="4" w:space="0" w:color="auto"/>
              <w:right w:val="single" w:sz="4" w:space="0" w:color="auto"/>
            </w:tcBorders>
            <w:noWrap/>
            <w:vAlign w:val="center"/>
          </w:tcPr>
          <w:p w:rsidR="00097E94" w:rsidRDefault="00097E94">
            <w:pPr>
              <w:spacing w:after="0" w:line="240" w:lineRule="auto"/>
              <w:jc w:val="center"/>
              <w:rPr>
                <w:rFonts w:eastAsia="Times New Roman" w:cs="Arial"/>
                <w:b/>
                <w:sz w:val="20"/>
                <w:szCs w:val="20"/>
                <w:lang w:eastAsia="en-ZA"/>
              </w:rPr>
            </w:pPr>
            <w:r>
              <w:rPr>
                <w:rFonts w:eastAsia="Times New Roman" w:cs="Arial"/>
                <w:b/>
                <w:sz w:val="20"/>
                <w:szCs w:val="20"/>
                <w:lang w:eastAsia="en-ZA"/>
              </w:rPr>
              <w:t>Operations</w:t>
            </w:r>
          </w:p>
        </w:tc>
      </w:tr>
      <w:tr w:rsidR="00097E94" w:rsidRPr="00CB35CE" w:rsidTr="00382647">
        <w:trPr>
          <w:trHeight w:val="290"/>
        </w:trPr>
        <w:tc>
          <w:tcPr>
            <w:tcW w:w="1985" w:type="dxa"/>
            <w:tcBorders>
              <w:top w:val="single" w:sz="4" w:space="0" w:color="000000"/>
              <w:left w:val="single" w:sz="4" w:space="0" w:color="000000"/>
              <w:bottom w:val="single" w:sz="4" w:space="0" w:color="000000"/>
              <w:right w:val="single" w:sz="4" w:space="0" w:color="000000"/>
            </w:tcBorders>
            <w:vAlign w:val="center"/>
          </w:tcPr>
          <w:p w:rsidR="00097E94" w:rsidRDefault="00097E94">
            <w:pPr>
              <w:spacing w:after="0" w:line="240" w:lineRule="auto"/>
              <w:rPr>
                <w:rFonts w:eastAsia="Times New Roman" w:cs="Arial"/>
                <w:sz w:val="20"/>
                <w:szCs w:val="20"/>
                <w:lang w:eastAsia="en-ZA"/>
              </w:rPr>
            </w:pPr>
            <w:r>
              <w:rPr>
                <w:rFonts w:eastAsia="Times New Roman" w:cs="Arial"/>
                <w:sz w:val="20"/>
                <w:szCs w:val="20"/>
                <w:lang w:eastAsia="en-ZA"/>
              </w:rPr>
              <w:t>Jul-13</w:t>
            </w:r>
          </w:p>
        </w:tc>
        <w:tc>
          <w:tcPr>
            <w:tcW w:w="4110" w:type="dxa"/>
            <w:tcBorders>
              <w:top w:val="single" w:sz="4" w:space="0" w:color="auto"/>
              <w:left w:val="nil"/>
              <w:bottom w:val="single" w:sz="4" w:space="0" w:color="auto"/>
              <w:right w:val="single" w:sz="4" w:space="0" w:color="auto"/>
            </w:tcBorders>
            <w:noWrap/>
            <w:vAlign w:val="center"/>
          </w:tcPr>
          <w:p w:rsidR="00097E94" w:rsidRDefault="00097E94">
            <w:pPr>
              <w:spacing w:after="0" w:line="240" w:lineRule="auto"/>
              <w:jc w:val="right"/>
              <w:rPr>
                <w:rFonts w:eastAsia="Times New Roman" w:cs="Arial"/>
                <w:sz w:val="20"/>
                <w:szCs w:val="20"/>
                <w:lang w:eastAsia="en-ZA"/>
              </w:rPr>
            </w:pPr>
            <w:r>
              <w:rPr>
                <w:rFonts w:eastAsia="Times New Roman" w:cs="Arial"/>
                <w:sz w:val="20"/>
                <w:szCs w:val="20"/>
                <w:lang w:eastAsia="en-ZA"/>
              </w:rPr>
              <w:t xml:space="preserve">R 29 827 326.93 </w:t>
            </w:r>
          </w:p>
        </w:tc>
      </w:tr>
      <w:tr w:rsidR="00097E94" w:rsidRPr="00CB35CE" w:rsidTr="00382647">
        <w:trPr>
          <w:trHeight w:val="290"/>
        </w:trPr>
        <w:tc>
          <w:tcPr>
            <w:tcW w:w="1985" w:type="dxa"/>
            <w:tcBorders>
              <w:top w:val="nil"/>
              <w:left w:val="single" w:sz="4" w:space="0" w:color="000000"/>
              <w:bottom w:val="single" w:sz="4" w:space="0" w:color="000000"/>
              <w:right w:val="single" w:sz="4" w:space="0" w:color="000000"/>
            </w:tcBorders>
            <w:vAlign w:val="center"/>
          </w:tcPr>
          <w:p w:rsidR="00097E94" w:rsidRDefault="00097E94">
            <w:pPr>
              <w:spacing w:after="0" w:line="240" w:lineRule="auto"/>
              <w:rPr>
                <w:rFonts w:eastAsia="Times New Roman" w:cs="Arial"/>
                <w:sz w:val="20"/>
                <w:szCs w:val="20"/>
                <w:lang w:eastAsia="en-ZA"/>
              </w:rPr>
            </w:pPr>
            <w:r>
              <w:rPr>
                <w:rFonts w:eastAsia="Times New Roman" w:cs="Arial"/>
                <w:sz w:val="20"/>
                <w:szCs w:val="20"/>
                <w:lang w:eastAsia="en-ZA"/>
              </w:rPr>
              <w:t>Aug-13</w:t>
            </w:r>
          </w:p>
        </w:tc>
        <w:tc>
          <w:tcPr>
            <w:tcW w:w="4110" w:type="dxa"/>
            <w:tcBorders>
              <w:top w:val="nil"/>
              <w:left w:val="nil"/>
              <w:bottom w:val="single" w:sz="4" w:space="0" w:color="auto"/>
              <w:right w:val="single" w:sz="4" w:space="0" w:color="auto"/>
            </w:tcBorders>
            <w:noWrap/>
            <w:vAlign w:val="center"/>
          </w:tcPr>
          <w:p w:rsidR="00097E94" w:rsidRDefault="00097E94">
            <w:pPr>
              <w:spacing w:after="0" w:line="240" w:lineRule="auto"/>
              <w:jc w:val="right"/>
              <w:rPr>
                <w:rFonts w:eastAsia="Times New Roman" w:cs="Arial"/>
                <w:sz w:val="20"/>
                <w:szCs w:val="20"/>
                <w:lang w:eastAsia="en-ZA"/>
              </w:rPr>
            </w:pPr>
            <w:r>
              <w:rPr>
                <w:rFonts w:eastAsia="Times New Roman" w:cs="Arial"/>
                <w:sz w:val="20"/>
                <w:szCs w:val="20"/>
                <w:lang w:eastAsia="en-ZA"/>
              </w:rPr>
              <w:t xml:space="preserve">R 15 126 538.85 </w:t>
            </w:r>
          </w:p>
        </w:tc>
      </w:tr>
      <w:tr w:rsidR="00097E94" w:rsidRPr="00CB35CE" w:rsidTr="00382647">
        <w:trPr>
          <w:trHeight w:val="290"/>
        </w:trPr>
        <w:tc>
          <w:tcPr>
            <w:tcW w:w="1985" w:type="dxa"/>
            <w:tcBorders>
              <w:top w:val="nil"/>
              <w:left w:val="single" w:sz="4" w:space="0" w:color="000000"/>
              <w:bottom w:val="single" w:sz="4" w:space="0" w:color="000000"/>
              <w:right w:val="single" w:sz="4" w:space="0" w:color="000000"/>
            </w:tcBorders>
            <w:vAlign w:val="center"/>
          </w:tcPr>
          <w:p w:rsidR="00097E94" w:rsidRDefault="00097E94">
            <w:pPr>
              <w:spacing w:after="0" w:line="240" w:lineRule="auto"/>
              <w:rPr>
                <w:rFonts w:eastAsia="Times New Roman" w:cs="Arial"/>
                <w:sz w:val="20"/>
                <w:szCs w:val="20"/>
                <w:lang w:eastAsia="en-ZA"/>
              </w:rPr>
            </w:pPr>
            <w:r>
              <w:rPr>
                <w:rFonts w:eastAsia="Times New Roman" w:cs="Arial"/>
                <w:sz w:val="20"/>
                <w:szCs w:val="20"/>
                <w:lang w:eastAsia="en-ZA"/>
              </w:rPr>
              <w:t>Sep-13</w:t>
            </w:r>
          </w:p>
        </w:tc>
        <w:tc>
          <w:tcPr>
            <w:tcW w:w="4110" w:type="dxa"/>
            <w:tcBorders>
              <w:top w:val="nil"/>
              <w:left w:val="nil"/>
              <w:bottom w:val="single" w:sz="4" w:space="0" w:color="auto"/>
              <w:right w:val="single" w:sz="4" w:space="0" w:color="auto"/>
            </w:tcBorders>
            <w:noWrap/>
            <w:vAlign w:val="center"/>
          </w:tcPr>
          <w:p w:rsidR="00097E94" w:rsidRDefault="00097E94">
            <w:pPr>
              <w:spacing w:after="0" w:line="240" w:lineRule="auto"/>
              <w:jc w:val="right"/>
              <w:rPr>
                <w:rFonts w:eastAsia="Times New Roman" w:cs="Arial"/>
                <w:sz w:val="20"/>
                <w:szCs w:val="20"/>
                <w:lang w:eastAsia="en-ZA"/>
              </w:rPr>
            </w:pPr>
            <w:r>
              <w:rPr>
                <w:rFonts w:eastAsia="Times New Roman" w:cs="Arial"/>
                <w:sz w:val="20"/>
                <w:szCs w:val="20"/>
                <w:lang w:eastAsia="en-ZA"/>
              </w:rPr>
              <w:t xml:space="preserve">R 30 559 820.76 </w:t>
            </w:r>
          </w:p>
        </w:tc>
      </w:tr>
      <w:tr w:rsidR="00097E94" w:rsidRPr="00CB35CE" w:rsidTr="00382647">
        <w:trPr>
          <w:trHeight w:val="290"/>
        </w:trPr>
        <w:tc>
          <w:tcPr>
            <w:tcW w:w="1985" w:type="dxa"/>
            <w:tcBorders>
              <w:top w:val="nil"/>
              <w:left w:val="single" w:sz="4" w:space="0" w:color="000000"/>
              <w:bottom w:val="single" w:sz="4" w:space="0" w:color="000000"/>
              <w:right w:val="single" w:sz="4" w:space="0" w:color="auto"/>
            </w:tcBorders>
            <w:vAlign w:val="center"/>
          </w:tcPr>
          <w:p w:rsidR="00097E94" w:rsidRDefault="00097E94">
            <w:pPr>
              <w:spacing w:after="0" w:line="240" w:lineRule="auto"/>
              <w:rPr>
                <w:rFonts w:eastAsia="Times New Roman" w:cs="Arial"/>
                <w:sz w:val="20"/>
                <w:szCs w:val="20"/>
                <w:lang w:eastAsia="en-ZA"/>
              </w:rPr>
            </w:pPr>
            <w:r>
              <w:rPr>
                <w:rFonts w:eastAsia="Times New Roman" w:cs="Arial"/>
                <w:sz w:val="20"/>
                <w:szCs w:val="20"/>
                <w:lang w:eastAsia="en-ZA"/>
              </w:rPr>
              <w:t>Oct-13</w:t>
            </w:r>
          </w:p>
        </w:tc>
        <w:tc>
          <w:tcPr>
            <w:tcW w:w="4110" w:type="dxa"/>
            <w:tcBorders>
              <w:top w:val="single" w:sz="4" w:space="0" w:color="auto"/>
              <w:left w:val="single" w:sz="4" w:space="0" w:color="auto"/>
              <w:bottom w:val="single" w:sz="4" w:space="0" w:color="auto"/>
              <w:right w:val="single" w:sz="4" w:space="0" w:color="auto"/>
            </w:tcBorders>
            <w:noWrap/>
            <w:vAlign w:val="center"/>
          </w:tcPr>
          <w:p w:rsidR="00097E94" w:rsidRDefault="00097E94">
            <w:pPr>
              <w:spacing w:after="0" w:line="240" w:lineRule="auto"/>
              <w:jc w:val="right"/>
              <w:rPr>
                <w:rFonts w:eastAsia="Times New Roman" w:cs="Arial"/>
                <w:sz w:val="20"/>
                <w:szCs w:val="20"/>
                <w:lang w:eastAsia="en-ZA"/>
              </w:rPr>
            </w:pPr>
            <w:r>
              <w:rPr>
                <w:rFonts w:eastAsia="Times New Roman" w:cs="Arial"/>
                <w:sz w:val="20"/>
                <w:szCs w:val="20"/>
                <w:lang w:eastAsia="en-ZA"/>
              </w:rPr>
              <w:t xml:space="preserve">R 33 290 653.38 </w:t>
            </w:r>
          </w:p>
        </w:tc>
      </w:tr>
      <w:tr w:rsidR="00097E94" w:rsidRPr="00CB35CE" w:rsidTr="00382647">
        <w:trPr>
          <w:trHeight w:val="290"/>
        </w:trPr>
        <w:tc>
          <w:tcPr>
            <w:tcW w:w="1985" w:type="dxa"/>
            <w:tcBorders>
              <w:top w:val="nil"/>
              <w:left w:val="single" w:sz="4" w:space="0" w:color="000000"/>
              <w:bottom w:val="single" w:sz="4" w:space="0" w:color="000000"/>
              <w:right w:val="single" w:sz="4" w:space="0" w:color="auto"/>
            </w:tcBorders>
            <w:vAlign w:val="center"/>
          </w:tcPr>
          <w:p w:rsidR="00097E94" w:rsidRDefault="00097E94">
            <w:pPr>
              <w:spacing w:after="0" w:line="240" w:lineRule="auto"/>
              <w:rPr>
                <w:rFonts w:eastAsia="Times New Roman" w:cs="Arial"/>
                <w:sz w:val="20"/>
                <w:szCs w:val="20"/>
                <w:lang w:eastAsia="en-ZA"/>
              </w:rPr>
            </w:pPr>
            <w:r>
              <w:rPr>
                <w:rFonts w:eastAsia="Times New Roman" w:cs="Arial"/>
                <w:sz w:val="20"/>
                <w:szCs w:val="20"/>
                <w:lang w:eastAsia="en-ZA"/>
              </w:rPr>
              <w:t>Nov-13</w:t>
            </w:r>
          </w:p>
        </w:tc>
        <w:tc>
          <w:tcPr>
            <w:tcW w:w="4110" w:type="dxa"/>
            <w:tcBorders>
              <w:top w:val="single" w:sz="4" w:space="0" w:color="auto"/>
              <w:left w:val="single" w:sz="4" w:space="0" w:color="auto"/>
              <w:bottom w:val="single" w:sz="4" w:space="0" w:color="auto"/>
              <w:right w:val="single" w:sz="4" w:space="0" w:color="auto"/>
            </w:tcBorders>
            <w:noWrap/>
            <w:vAlign w:val="center"/>
          </w:tcPr>
          <w:p w:rsidR="00097E94" w:rsidRDefault="00097E94">
            <w:pPr>
              <w:spacing w:after="0" w:line="240" w:lineRule="auto"/>
              <w:jc w:val="right"/>
              <w:rPr>
                <w:rFonts w:eastAsia="Times New Roman" w:cs="Arial"/>
                <w:sz w:val="20"/>
                <w:szCs w:val="20"/>
                <w:lang w:eastAsia="en-ZA"/>
              </w:rPr>
            </w:pPr>
            <w:r>
              <w:rPr>
                <w:rFonts w:eastAsia="Times New Roman" w:cs="Arial"/>
                <w:sz w:val="20"/>
                <w:szCs w:val="20"/>
                <w:lang w:eastAsia="en-ZA"/>
              </w:rPr>
              <w:t xml:space="preserve">R 47 446 297.39 </w:t>
            </w:r>
          </w:p>
        </w:tc>
      </w:tr>
      <w:tr w:rsidR="00097E94" w:rsidRPr="00CB35CE" w:rsidTr="00382647">
        <w:trPr>
          <w:trHeight w:val="290"/>
        </w:trPr>
        <w:tc>
          <w:tcPr>
            <w:tcW w:w="1985" w:type="dxa"/>
            <w:tcBorders>
              <w:top w:val="nil"/>
              <w:left w:val="single" w:sz="4" w:space="0" w:color="000000"/>
              <w:bottom w:val="single" w:sz="4" w:space="0" w:color="000000"/>
              <w:right w:val="single" w:sz="4" w:space="0" w:color="000000"/>
            </w:tcBorders>
            <w:vAlign w:val="center"/>
          </w:tcPr>
          <w:p w:rsidR="00097E94" w:rsidRDefault="00097E94">
            <w:pPr>
              <w:spacing w:after="0" w:line="240" w:lineRule="auto"/>
              <w:rPr>
                <w:rFonts w:eastAsia="Times New Roman" w:cs="Arial"/>
                <w:sz w:val="20"/>
                <w:szCs w:val="20"/>
                <w:lang w:eastAsia="en-ZA"/>
              </w:rPr>
            </w:pPr>
            <w:r>
              <w:rPr>
                <w:rFonts w:eastAsia="Times New Roman" w:cs="Arial"/>
                <w:sz w:val="20"/>
                <w:szCs w:val="20"/>
                <w:lang w:eastAsia="en-ZA"/>
              </w:rPr>
              <w:t>Dec-13</w:t>
            </w:r>
          </w:p>
        </w:tc>
        <w:tc>
          <w:tcPr>
            <w:tcW w:w="4110" w:type="dxa"/>
            <w:tcBorders>
              <w:top w:val="single" w:sz="4" w:space="0" w:color="auto"/>
              <w:left w:val="nil"/>
              <w:bottom w:val="single" w:sz="4" w:space="0" w:color="auto"/>
              <w:right w:val="single" w:sz="4" w:space="0" w:color="auto"/>
            </w:tcBorders>
            <w:noWrap/>
            <w:vAlign w:val="center"/>
          </w:tcPr>
          <w:p w:rsidR="00097E94" w:rsidRDefault="00097E94">
            <w:pPr>
              <w:spacing w:after="0" w:line="240" w:lineRule="auto"/>
              <w:jc w:val="right"/>
              <w:rPr>
                <w:rFonts w:eastAsia="Times New Roman" w:cs="Arial"/>
                <w:sz w:val="20"/>
                <w:szCs w:val="20"/>
                <w:lang w:eastAsia="en-ZA"/>
              </w:rPr>
            </w:pPr>
            <w:r>
              <w:rPr>
                <w:rFonts w:eastAsia="Times New Roman" w:cs="Arial"/>
                <w:sz w:val="20"/>
                <w:szCs w:val="20"/>
                <w:lang w:eastAsia="en-ZA"/>
              </w:rPr>
              <w:t>R 80 869 591.90</w:t>
            </w:r>
          </w:p>
        </w:tc>
      </w:tr>
    </w:tbl>
    <w:p w:rsidR="00097E94" w:rsidRDefault="00097E94" w:rsidP="0011360F">
      <w:pPr>
        <w:spacing w:before="100" w:beforeAutospacing="1" w:after="100" w:afterAutospacing="1" w:line="240" w:lineRule="auto"/>
        <w:ind w:left="720" w:hanging="720"/>
        <w:rPr>
          <w:rFonts w:ascii="Arial" w:hAnsi="Arial" w:cs="Arial"/>
          <w:color w:val="000000"/>
        </w:rPr>
      </w:pPr>
    </w:p>
    <w:p w:rsidR="00097E94" w:rsidRDefault="00097E94" w:rsidP="0011360F">
      <w:pPr>
        <w:spacing w:before="100" w:beforeAutospacing="1" w:after="100" w:afterAutospacing="1" w:line="240" w:lineRule="auto"/>
        <w:ind w:left="1440" w:hanging="720"/>
        <w:rPr>
          <w:rFonts w:ascii="Arial" w:hAnsi="Arial" w:cs="Arial"/>
          <w:color w:val="000000"/>
        </w:rPr>
      </w:pPr>
      <w:r>
        <w:rPr>
          <w:rFonts w:ascii="Arial" w:hAnsi="Arial" w:cs="Arial"/>
          <w:color w:val="000000"/>
        </w:rPr>
        <w:t>The followings are to be noted in this regard:</w:t>
      </w:r>
    </w:p>
    <w:p w:rsidR="00097E94" w:rsidRDefault="00097E94" w:rsidP="0011360F">
      <w:pPr>
        <w:spacing w:before="100" w:beforeAutospacing="1" w:after="100" w:afterAutospacing="1" w:line="240" w:lineRule="auto"/>
        <w:ind w:left="1440" w:hanging="720"/>
        <w:rPr>
          <w:rFonts w:ascii="Arial" w:hAnsi="Arial" w:cs="Arial"/>
          <w:color w:val="000000"/>
        </w:rPr>
      </w:pPr>
      <w:r>
        <w:rPr>
          <w:rFonts w:ascii="Arial" w:hAnsi="Arial" w:cs="Arial"/>
          <w:color w:val="000000"/>
        </w:rPr>
        <w:t>(i)</w:t>
      </w:r>
      <w:r>
        <w:rPr>
          <w:rFonts w:ascii="Arial" w:hAnsi="Arial" w:cs="Arial"/>
          <w:color w:val="000000"/>
        </w:rPr>
        <w:tab/>
        <w:t>The payments to the contractor, in addition to payments for the services provided by the contractor, payment for the maintenance of all buildings and gantry's maintained by the contractor, payments for systems maintenance, payments in respect of utilities (water and electricity), rentals of customer kiosks and operations undertaken by the contractor including those for the benefit of the road user;</w:t>
      </w:r>
    </w:p>
    <w:p w:rsidR="00097E94" w:rsidRDefault="00097E94" w:rsidP="0011360F">
      <w:pPr>
        <w:spacing w:before="100" w:beforeAutospacing="1" w:after="100" w:afterAutospacing="1" w:line="240" w:lineRule="auto"/>
        <w:ind w:left="1440" w:hanging="720"/>
        <w:rPr>
          <w:rFonts w:ascii="Arial" w:hAnsi="Arial" w:cs="Arial"/>
          <w:color w:val="000000"/>
        </w:rPr>
      </w:pPr>
      <w:r>
        <w:rPr>
          <w:rFonts w:ascii="Arial" w:hAnsi="Arial" w:cs="Arial"/>
          <w:color w:val="000000"/>
        </w:rPr>
        <w:t>(ii)</w:t>
      </w:r>
      <w:r>
        <w:rPr>
          <w:rFonts w:ascii="Arial" w:hAnsi="Arial" w:cs="Arial"/>
          <w:color w:val="000000"/>
        </w:rPr>
        <w:tab/>
        <w:t>The contractor was required, at all times, to be operationally ready not knowing the toll commencement date and having regard to the various court cases;</w:t>
      </w:r>
    </w:p>
    <w:p w:rsidR="00097E94" w:rsidRDefault="00097E94" w:rsidP="0011360F">
      <w:pPr>
        <w:spacing w:before="100" w:beforeAutospacing="1" w:after="100" w:afterAutospacing="1" w:line="240" w:lineRule="auto"/>
        <w:ind w:left="1440" w:hanging="720"/>
        <w:rPr>
          <w:rFonts w:ascii="Arial" w:hAnsi="Arial" w:cs="Arial"/>
          <w:color w:val="000000"/>
        </w:rPr>
      </w:pPr>
      <w:r>
        <w:rPr>
          <w:rFonts w:ascii="Arial" w:hAnsi="Arial" w:cs="Arial"/>
          <w:color w:val="000000"/>
        </w:rPr>
        <w:t>(iii)</w:t>
      </w:r>
      <w:r>
        <w:rPr>
          <w:rFonts w:ascii="Arial" w:hAnsi="Arial" w:cs="Arial"/>
          <w:color w:val="000000"/>
        </w:rPr>
        <w:tab/>
        <w:t>The increases in payments in October, November and December 2013 should be viewed in light of the ramp-up of operations required for purposes of toll commencement;</w:t>
      </w:r>
    </w:p>
    <w:p w:rsidR="00097E94" w:rsidRDefault="00097E94" w:rsidP="0011360F">
      <w:pPr>
        <w:spacing w:before="100" w:beforeAutospacing="1" w:after="100" w:afterAutospacing="1" w:line="240" w:lineRule="auto"/>
        <w:ind w:left="1440" w:hanging="720"/>
        <w:rPr>
          <w:rFonts w:ascii="Arial" w:hAnsi="Arial" w:cs="Arial"/>
          <w:color w:val="000000"/>
        </w:rPr>
      </w:pPr>
      <w:r>
        <w:rPr>
          <w:rFonts w:ascii="Arial" w:hAnsi="Arial" w:cs="Arial"/>
          <w:color w:val="000000"/>
        </w:rPr>
        <w:t>(iv)</w:t>
      </w:r>
      <w:r>
        <w:rPr>
          <w:rFonts w:ascii="Arial" w:hAnsi="Arial" w:cs="Arial"/>
          <w:color w:val="000000"/>
        </w:rPr>
        <w:tab/>
        <w:t>All payments are determined based on a measurement based contract (add-measured contract) and accordingly the contractor is only paid for services actually rendered; and</w:t>
      </w:r>
    </w:p>
    <w:p w:rsidR="00097E94" w:rsidRDefault="00097E94" w:rsidP="0011360F">
      <w:pPr>
        <w:spacing w:before="100" w:beforeAutospacing="1" w:after="100" w:afterAutospacing="1" w:line="240" w:lineRule="auto"/>
        <w:ind w:left="1440" w:hanging="720"/>
        <w:rPr>
          <w:rFonts w:ascii="Arial" w:hAnsi="Arial" w:cs="Arial"/>
          <w:color w:val="000000"/>
        </w:rPr>
      </w:pPr>
      <w:r>
        <w:rPr>
          <w:rFonts w:ascii="Arial" w:hAnsi="Arial" w:cs="Arial"/>
          <w:color w:val="000000"/>
        </w:rPr>
        <w:t xml:space="preserve">(v) </w:t>
      </w:r>
      <w:r>
        <w:rPr>
          <w:rFonts w:ascii="Arial" w:hAnsi="Arial" w:cs="Arial"/>
          <w:color w:val="000000"/>
        </w:rPr>
        <w:tab/>
        <w:t>The December payment is for the full months services not just to 15 December 2013 as a result of the end of the year industry shut down.</w:t>
      </w:r>
    </w:p>
    <w:p w:rsidR="00097E94" w:rsidRPr="0011360F" w:rsidRDefault="00097E94" w:rsidP="0011360F">
      <w:pPr>
        <w:spacing w:before="100" w:beforeAutospacing="1" w:after="100" w:afterAutospacing="1" w:line="240" w:lineRule="auto"/>
        <w:ind w:left="720" w:hanging="720"/>
        <w:rPr>
          <w:rFonts w:ascii="Arial" w:hAnsi="Arial" w:cs="Arial"/>
          <w:color w:val="000000"/>
        </w:rPr>
      </w:pPr>
    </w:p>
    <w:sectPr w:rsidR="00097E94" w:rsidRPr="0011360F"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
  </w:num>
  <w:num w:numId="4">
    <w:abstractNumId w:val="4"/>
  </w:num>
  <w:num w:numId="5">
    <w:abstractNumId w:val="22"/>
  </w:num>
  <w:num w:numId="6">
    <w:abstractNumId w:val="24"/>
  </w:num>
  <w:num w:numId="7">
    <w:abstractNumId w:val="21"/>
  </w:num>
  <w:num w:numId="8">
    <w:abstractNumId w:val="1"/>
  </w:num>
  <w:num w:numId="9">
    <w:abstractNumId w:val="14"/>
  </w:num>
  <w:num w:numId="10">
    <w:abstractNumId w:val="9"/>
  </w:num>
  <w:num w:numId="11">
    <w:abstractNumId w:val="13"/>
  </w:num>
  <w:num w:numId="12">
    <w:abstractNumId w:val="19"/>
  </w:num>
  <w:num w:numId="13">
    <w:abstractNumId w:val="10"/>
  </w:num>
  <w:num w:numId="14">
    <w:abstractNumId w:val="6"/>
  </w:num>
  <w:num w:numId="15">
    <w:abstractNumId w:val="25"/>
  </w:num>
  <w:num w:numId="16">
    <w:abstractNumId w:val="18"/>
  </w:num>
  <w:num w:numId="17">
    <w:abstractNumId w:val="11"/>
  </w:num>
  <w:num w:numId="18">
    <w:abstractNumId w:val="26"/>
  </w:num>
  <w:num w:numId="19">
    <w:abstractNumId w:val="5"/>
  </w:num>
  <w:num w:numId="20">
    <w:abstractNumId w:val="7"/>
  </w:num>
  <w:num w:numId="21">
    <w:abstractNumId w:val="16"/>
  </w:num>
  <w:num w:numId="22">
    <w:abstractNumId w:val="23"/>
  </w:num>
  <w:num w:numId="23">
    <w:abstractNumId w:val="3"/>
  </w:num>
  <w:num w:numId="24">
    <w:abstractNumId w:val="20"/>
  </w:num>
  <w:num w:numId="25">
    <w:abstractNumId w:val="17"/>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27A62"/>
    <w:rsid w:val="00031989"/>
    <w:rsid w:val="0005391D"/>
    <w:rsid w:val="00055A79"/>
    <w:rsid w:val="000773B2"/>
    <w:rsid w:val="00080CA6"/>
    <w:rsid w:val="00082A4E"/>
    <w:rsid w:val="0009500E"/>
    <w:rsid w:val="00096EE4"/>
    <w:rsid w:val="00097E94"/>
    <w:rsid w:val="000B01FF"/>
    <w:rsid w:val="000E04E0"/>
    <w:rsid w:val="000E1816"/>
    <w:rsid w:val="000E1907"/>
    <w:rsid w:val="000F29A6"/>
    <w:rsid w:val="000F76BD"/>
    <w:rsid w:val="001017AA"/>
    <w:rsid w:val="0011360F"/>
    <w:rsid w:val="00125826"/>
    <w:rsid w:val="00130AB5"/>
    <w:rsid w:val="00153AAD"/>
    <w:rsid w:val="001712B4"/>
    <w:rsid w:val="00185EFC"/>
    <w:rsid w:val="001B2E53"/>
    <w:rsid w:val="001C323C"/>
    <w:rsid w:val="001E1B86"/>
    <w:rsid w:val="002026BE"/>
    <w:rsid w:val="00203527"/>
    <w:rsid w:val="00206B22"/>
    <w:rsid w:val="002136FC"/>
    <w:rsid w:val="00220C71"/>
    <w:rsid w:val="00251BC9"/>
    <w:rsid w:val="0025261D"/>
    <w:rsid w:val="00253BA7"/>
    <w:rsid w:val="00261077"/>
    <w:rsid w:val="002800B5"/>
    <w:rsid w:val="002838E4"/>
    <w:rsid w:val="00286F8A"/>
    <w:rsid w:val="002956D0"/>
    <w:rsid w:val="002B22BD"/>
    <w:rsid w:val="002C441D"/>
    <w:rsid w:val="002C4526"/>
    <w:rsid w:val="002D4348"/>
    <w:rsid w:val="002E1F7C"/>
    <w:rsid w:val="002E404E"/>
    <w:rsid w:val="002E4BF3"/>
    <w:rsid w:val="00300D2E"/>
    <w:rsid w:val="003130D1"/>
    <w:rsid w:val="00314530"/>
    <w:rsid w:val="00323697"/>
    <w:rsid w:val="0032538F"/>
    <w:rsid w:val="003427F2"/>
    <w:rsid w:val="003450B0"/>
    <w:rsid w:val="003554D8"/>
    <w:rsid w:val="00361AC5"/>
    <w:rsid w:val="00382647"/>
    <w:rsid w:val="00391284"/>
    <w:rsid w:val="00396483"/>
    <w:rsid w:val="003A49C5"/>
    <w:rsid w:val="003A6CDB"/>
    <w:rsid w:val="003B15B6"/>
    <w:rsid w:val="003F7CE2"/>
    <w:rsid w:val="004016C1"/>
    <w:rsid w:val="0040578A"/>
    <w:rsid w:val="0040684E"/>
    <w:rsid w:val="00420BFA"/>
    <w:rsid w:val="00423E34"/>
    <w:rsid w:val="00430277"/>
    <w:rsid w:val="00451494"/>
    <w:rsid w:val="00473B08"/>
    <w:rsid w:val="004813B8"/>
    <w:rsid w:val="004A00D3"/>
    <w:rsid w:val="004A55B0"/>
    <w:rsid w:val="004A62DE"/>
    <w:rsid w:val="004B4AD9"/>
    <w:rsid w:val="004D18C0"/>
    <w:rsid w:val="004E13FB"/>
    <w:rsid w:val="004E67DE"/>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117C"/>
    <w:rsid w:val="00604285"/>
    <w:rsid w:val="006140CA"/>
    <w:rsid w:val="006762C5"/>
    <w:rsid w:val="00682580"/>
    <w:rsid w:val="006917CD"/>
    <w:rsid w:val="00691EDB"/>
    <w:rsid w:val="006B11A5"/>
    <w:rsid w:val="006B1CD3"/>
    <w:rsid w:val="006C2C06"/>
    <w:rsid w:val="006D22A6"/>
    <w:rsid w:val="006E0F31"/>
    <w:rsid w:val="006F2271"/>
    <w:rsid w:val="006F4245"/>
    <w:rsid w:val="007004C2"/>
    <w:rsid w:val="00703B2E"/>
    <w:rsid w:val="007118B7"/>
    <w:rsid w:val="00721731"/>
    <w:rsid w:val="0072523F"/>
    <w:rsid w:val="00727B18"/>
    <w:rsid w:val="00732AD7"/>
    <w:rsid w:val="00732F1A"/>
    <w:rsid w:val="00740206"/>
    <w:rsid w:val="0075491A"/>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82EBE"/>
    <w:rsid w:val="008A52D5"/>
    <w:rsid w:val="008B2E50"/>
    <w:rsid w:val="008B4716"/>
    <w:rsid w:val="008E1280"/>
    <w:rsid w:val="00916A9F"/>
    <w:rsid w:val="00916CE7"/>
    <w:rsid w:val="00922931"/>
    <w:rsid w:val="00926370"/>
    <w:rsid w:val="0093674F"/>
    <w:rsid w:val="00961E2F"/>
    <w:rsid w:val="0097652F"/>
    <w:rsid w:val="00983EC7"/>
    <w:rsid w:val="0098406D"/>
    <w:rsid w:val="00990CE2"/>
    <w:rsid w:val="00992AA4"/>
    <w:rsid w:val="00993310"/>
    <w:rsid w:val="009A0286"/>
    <w:rsid w:val="009A4739"/>
    <w:rsid w:val="009B0431"/>
    <w:rsid w:val="009C4E79"/>
    <w:rsid w:val="009F7581"/>
    <w:rsid w:val="00A01414"/>
    <w:rsid w:val="00A21F7F"/>
    <w:rsid w:val="00A4192C"/>
    <w:rsid w:val="00A43DCA"/>
    <w:rsid w:val="00A44B9A"/>
    <w:rsid w:val="00A55457"/>
    <w:rsid w:val="00A756F5"/>
    <w:rsid w:val="00A84239"/>
    <w:rsid w:val="00A87430"/>
    <w:rsid w:val="00A90242"/>
    <w:rsid w:val="00A90517"/>
    <w:rsid w:val="00A910A7"/>
    <w:rsid w:val="00AD6B5D"/>
    <w:rsid w:val="00AE73FF"/>
    <w:rsid w:val="00B00C2E"/>
    <w:rsid w:val="00B05CA7"/>
    <w:rsid w:val="00B12027"/>
    <w:rsid w:val="00B177F2"/>
    <w:rsid w:val="00B21C1C"/>
    <w:rsid w:val="00B31016"/>
    <w:rsid w:val="00B40FCE"/>
    <w:rsid w:val="00B56227"/>
    <w:rsid w:val="00B95F63"/>
    <w:rsid w:val="00BA4847"/>
    <w:rsid w:val="00BC2F3F"/>
    <w:rsid w:val="00BD449E"/>
    <w:rsid w:val="00BF68B6"/>
    <w:rsid w:val="00BF69C4"/>
    <w:rsid w:val="00C11A93"/>
    <w:rsid w:val="00C202CB"/>
    <w:rsid w:val="00C50D10"/>
    <w:rsid w:val="00C533BC"/>
    <w:rsid w:val="00C6207A"/>
    <w:rsid w:val="00C62268"/>
    <w:rsid w:val="00C62E1B"/>
    <w:rsid w:val="00C64770"/>
    <w:rsid w:val="00C731ED"/>
    <w:rsid w:val="00C92817"/>
    <w:rsid w:val="00CB35CE"/>
    <w:rsid w:val="00CB640B"/>
    <w:rsid w:val="00CC2FF9"/>
    <w:rsid w:val="00CE4AF0"/>
    <w:rsid w:val="00CF5BC7"/>
    <w:rsid w:val="00D31E40"/>
    <w:rsid w:val="00D352D4"/>
    <w:rsid w:val="00D82AB0"/>
    <w:rsid w:val="00D92CFD"/>
    <w:rsid w:val="00DA1E37"/>
    <w:rsid w:val="00DE5D58"/>
    <w:rsid w:val="00E1610F"/>
    <w:rsid w:val="00E16B9F"/>
    <w:rsid w:val="00E25BB3"/>
    <w:rsid w:val="00E31BF8"/>
    <w:rsid w:val="00E4370C"/>
    <w:rsid w:val="00E53BF6"/>
    <w:rsid w:val="00E649F1"/>
    <w:rsid w:val="00E74736"/>
    <w:rsid w:val="00E80B27"/>
    <w:rsid w:val="00E81167"/>
    <w:rsid w:val="00E83B34"/>
    <w:rsid w:val="00EB53F1"/>
    <w:rsid w:val="00EC4D69"/>
    <w:rsid w:val="00ED7F9B"/>
    <w:rsid w:val="00EF5FED"/>
    <w:rsid w:val="00EF7862"/>
    <w:rsid w:val="00F00B6B"/>
    <w:rsid w:val="00F526AD"/>
    <w:rsid w:val="00F806FE"/>
    <w:rsid w:val="00F80B01"/>
    <w:rsid w:val="00F83C35"/>
    <w:rsid w:val="00F86A5F"/>
    <w:rsid w:val="00F91072"/>
    <w:rsid w:val="00FA3CC6"/>
    <w:rsid w:val="00FC2B1C"/>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262960246">
      <w:marLeft w:val="0"/>
      <w:marRight w:val="0"/>
      <w:marTop w:val="0"/>
      <w:marBottom w:val="0"/>
      <w:divBdr>
        <w:top w:val="none" w:sz="0" w:space="0" w:color="auto"/>
        <w:left w:val="none" w:sz="0" w:space="0" w:color="auto"/>
        <w:bottom w:val="none" w:sz="0" w:space="0" w:color="auto"/>
        <w:right w:val="none" w:sz="0" w:space="0" w:color="auto"/>
      </w:divBdr>
    </w:div>
    <w:div w:id="262960247">
      <w:marLeft w:val="0"/>
      <w:marRight w:val="0"/>
      <w:marTop w:val="0"/>
      <w:marBottom w:val="0"/>
      <w:divBdr>
        <w:top w:val="none" w:sz="0" w:space="0" w:color="auto"/>
        <w:left w:val="none" w:sz="0" w:space="0" w:color="auto"/>
        <w:bottom w:val="none" w:sz="0" w:space="0" w:color="auto"/>
        <w:right w:val="none" w:sz="0" w:space="0" w:color="auto"/>
      </w:divBdr>
    </w:div>
    <w:div w:id="262960248">
      <w:marLeft w:val="0"/>
      <w:marRight w:val="0"/>
      <w:marTop w:val="0"/>
      <w:marBottom w:val="0"/>
      <w:divBdr>
        <w:top w:val="none" w:sz="0" w:space="0" w:color="auto"/>
        <w:left w:val="none" w:sz="0" w:space="0" w:color="auto"/>
        <w:bottom w:val="none" w:sz="0" w:space="0" w:color="auto"/>
        <w:right w:val="none" w:sz="0" w:space="0" w:color="auto"/>
      </w:divBdr>
    </w:div>
    <w:div w:id="262960249">
      <w:marLeft w:val="0"/>
      <w:marRight w:val="0"/>
      <w:marTop w:val="0"/>
      <w:marBottom w:val="0"/>
      <w:divBdr>
        <w:top w:val="none" w:sz="0" w:space="0" w:color="auto"/>
        <w:left w:val="none" w:sz="0" w:space="0" w:color="auto"/>
        <w:bottom w:val="none" w:sz="0" w:space="0" w:color="auto"/>
        <w:right w:val="none" w:sz="0" w:space="0" w:color="auto"/>
      </w:divBdr>
    </w:div>
    <w:div w:id="262960250">
      <w:marLeft w:val="0"/>
      <w:marRight w:val="0"/>
      <w:marTop w:val="0"/>
      <w:marBottom w:val="0"/>
      <w:divBdr>
        <w:top w:val="none" w:sz="0" w:space="0" w:color="auto"/>
        <w:left w:val="none" w:sz="0" w:space="0" w:color="auto"/>
        <w:bottom w:val="none" w:sz="0" w:space="0" w:color="auto"/>
        <w:right w:val="none" w:sz="0" w:space="0" w:color="auto"/>
      </w:divBdr>
    </w:div>
    <w:div w:id="2629602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695</Words>
  <Characters>3965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2015-08-03T06:45:00Z</cp:lastPrinted>
  <dcterms:created xsi:type="dcterms:W3CDTF">2015-08-12T13:35:00Z</dcterms:created>
  <dcterms:modified xsi:type="dcterms:W3CDTF">2015-08-12T13:35:00Z</dcterms:modified>
</cp:coreProperties>
</file>