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1F" w:rsidRPr="008465AE" w:rsidRDefault="008465AE" w:rsidP="005557F6">
      <w:pPr>
        <w:spacing w:before="100" w:beforeAutospacing="1" w:after="100" w:afterAutospacing="1"/>
        <w:ind w:left="720" w:hanging="720"/>
        <w:jc w:val="center"/>
        <w:outlineLvl w:val="0"/>
        <w:rPr>
          <w:rFonts w:ascii="Arial" w:hAnsi="Arial" w:cs="Arial"/>
          <w:b/>
          <w:szCs w:val="24"/>
        </w:rPr>
      </w:pPr>
      <w:bookmarkStart w:id="0" w:name="_GoBack"/>
      <w:bookmarkEnd w:id="0"/>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8465AE" w:rsidRPr="008465AE">
        <w:rPr>
          <w:rFonts w:ascii="Arial" w:hAnsi="Arial" w:cs="Arial"/>
          <w:b/>
          <w:szCs w:val="24"/>
        </w:rPr>
        <w:t xml:space="preserve"> </w:t>
      </w:r>
      <w:r w:rsidR="00A52A5E">
        <w:rPr>
          <w:rFonts w:ascii="Arial" w:hAnsi="Arial" w:cs="Arial"/>
          <w:b/>
          <w:szCs w:val="24"/>
        </w:rPr>
        <w:t>2746</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A52A5E">
        <w:rPr>
          <w:rFonts w:ascii="Arial" w:hAnsi="Arial" w:cs="Arial"/>
          <w:b/>
          <w:szCs w:val="24"/>
        </w:rPr>
        <w:t xml:space="preserve"> NW3039</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936D81">
        <w:rPr>
          <w:rFonts w:ascii="Arial" w:hAnsi="Arial" w:cs="Arial"/>
          <w:b/>
          <w:szCs w:val="24"/>
        </w:rPr>
        <w:t xml:space="preserve"> </w:t>
      </w:r>
      <w:r w:rsidR="00A52A5E">
        <w:rPr>
          <w:rFonts w:ascii="Arial" w:hAnsi="Arial" w:cs="Arial"/>
          <w:b/>
          <w:szCs w:val="24"/>
        </w:rPr>
        <w:t xml:space="preserve">14 </w:t>
      </w:r>
      <w:r w:rsidR="00D45EFB">
        <w:rPr>
          <w:rFonts w:ascii="Arial" w:hAnsi="Arial" w:cs="Arial"/>
          <w:b/>
          <w:szCs w:val="24"/>
        </w:rPr>
        <w:t>Sept 2018</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A52A5E">
        <w:rPr>
          <w:rFonts w:ascii="Arial" w:hAnsi="Arial" w:cs="Arial"/>
          <w:b/>
          <w:szCs w:val="24"/>
        </w:rPr>
        <w:t xml:space="preserve"> 30</w:t>
      </w:r>
    </w:p>
    <w:p w:rsidR="00A52A5E" w:rsidRPr="00D45EFB" w:rsidRDefault="00A52A5E" w:rsidP="00A52A5E">
      <w:pPr>
        <w:spacing w:before="100" w:beforeAutospacing="1" w:after="100" w:afterAutospacing="1"/>
        <w:ind w:left="720" w:hanging="720"/>
        <w:outlineLvl w:val="0"/>
        <w:rPr>
          <w:rFonts w:ascii="Arial" w:hAnsi="Arial" w:cs="Arial"/>
          <w:szCs w:val="24"/>
        </w:rPr>
      </w:pPr>
      <w:r w:rsidRPr="00D45EFB">
        <w:rPr>
          <w:rFonts w:ascii="Arial" w:hAnsi="Arial" w:cs="Arial"/>
          <w:b/>
          <w:szCs w:val="24"/>
        </w:rPr>
        <w:t>2746.</w:t>
      </w:r>
      <w:r w:rsidRPr="00D45EFB">
        <w:rPr>
          <w:rFonts w:ascii="Arial" w:hAnsi="Arial" w:cs="Arial"/>
          <w:b/>
          <w:szCs w:val="24"/>
        </w:rPr>
        <w:tab/>
        <w:t>Mr T Rawula (EFF) to ask the Minister of Mineral Resources:</w:t>
      </w:r>
    </w:p>
    <w:p w:rsidR="00A52A5E" w:rsidRPr="00E56B26" w:rsidRDefault="00A52A5E" w:rsidP="00E56B26">
      <w:pPr>
        <w:spacing w:before="100" w:beforeAutospacing="1" w:after="100" w:afterAutospacing="1" w:line="360" w:lineRule="auto"/>
        <w:ind w:left="720"/>
        <w:outlineLvl w:val="0"/>
        <w:rPr>
          <w:rFonts w:ascii="Arial" w:hAnsi="Arial" w:cs="Arial"/>
          <w:szCs w:val="24"/>
        </w:rPr>
      </w:pPr>
      <w:r w:rsidRPr="00E56B26">
        <w:rPr>
          <w:rFonts w:ascii="Arial" w:eastAsiaTheme="minorHAnsi" w:hAnsi="Arial" w:cs="Arial"/>
          <w:szCs w:val="24"/>
          <w:lang w:val="en-ZA"/>
        </w:rPr>
        <w:t>(a)</w:t>
      </w:r>
      <w:r w:rsidRPr="005270D0">
        <w:rPr>
          <w:rFonts w:ascii="Times New Roman" w:eastAsiaTheme="minorHAnsi" w:hAnsi="Times New Roman"/>
          <w:szCs w:val="24"/>
          <w:lang w:val="en-ZA"/>
        </w:rPr>
        <w:t xml:space="preserve"> </w:t>
      </w:r>
      <w:r w:rsidRPr="00E56B26">
        <w:rPr>
          <w:rFonts w:ascii="Arial" w:eastAsiaTheme="minorHAnsi" w:hAnsi="Arial" w:cs="Arial"/>
          <w:szCs w:val="24"/>
          <w:lang w:val="en-ZA"/>
        </w:rPr>
        <w:t xml:space="preserve">What regulations allowed for the establishment of the Holcim Macassar Sandmine in Cape Town at its current location, (b) how far is the mine from the nearest settlement, (c) does the </w:t>
      </w:r>
      <w:r w:rsidRPr="00E56B26">
        <w:rPr>
          <w:rFonts w:ascii="Arial" w:hAnsi="Arial" w:cs="Arial"/>
          <w:szCs w:val="24"/>
        </w:rPr>
        <w:t>distance</w:t>
      </w:r>
      <w:r w:rsidRPr="00E56B26">
        <w:rPr>
          <w:rFonts w:ascii="Arial" w:eastAsiaTheme="minorHAnsi" w:hAnsi="Arial" w:cs="Arial"/>
          <w:szCs w:val="24"/>
          <w:lang w:val="en-ZA"/>
        </w:rPr>
        <w:t xml:space="preserve"> between the mine and nearest settlement comply with regulations and (d) what are the social and labour plans of the mine</w:t>
      </w:r>
      <w:r w:rsidRPr="00E56B26">
        <w:rPr>
          <w:rFonts w:ascii="Arial" w:hAnsi="Arial" w:cs="Arial"/>
          <w:szCs w:val="24"/>
        </w:rPr>
        <w:t>?</w:t>
      </w:r>
      <w:r w:rsidRPr="00E56B26">
        <w:rPr>
          <w:rFonts w:ascii="Arial" w:hAnsi="Arial" w:cs="Arial"/>
          <w:szCs w:val="24"/>
        </w:rPr>
        <w:tab/>
      </w:r>
      <w:r w:rsidRPr="00E56B26">
        <w:rPr>
          <w:rFonts w:ascii="Arial" w:hAnsi="Arial" w:cs="Arial"/>
          <w:szCs w:val="24"/>
        </w:rPr>
        <w:tab/>
      </w:r>
      <w:r w:rsidRPr="00E56B26">
        <w:rPr>
          <w:rFonts w:ascii="Arial" w:hAnsi="Arial" w:cs="Arial"/>
          <w:szCs w:val="24"/>
        </w:rPr>
        <w:tab/>
      </w:r>
      <w:r w:rsidRPr="00E56B26">
        <w:rPr>
          <w:rFonts w:ascii="Arial" w:eastAsiaTheme="minorHAnsi" w:hAnsi="Arial" w:cs="Arial"/>
          <w:szCs w:val="24"/>
          <w:lang w:val="en-ZA"/>
        </w:rPr>
        <w:t>NW3039E</w:t>
      </w:r>
    </w:p>
    <w:p w:rsidR="00BB434F" w:rsidRDefault="00F7145F" w:rsidP="00CF0E84">
      <w:pPr>
        <w:spacing w:before="100" w:beforeAutospacing="1" w:after="100" w:afterAutospacing="1" w:line="480" w:lineRule="auto"/>
        <w:rPr>
          <w:rFonts w:ascii="Arial" w:hAnsi="Arial" w:cs="Arial"/>
          <w:b/>
          <w:lang w:val="en-ZA"/>
        </w:rPr>
      </w:pPr>
      <w:r w:rsidRPr="005557F6">
        <w:rPr>
          <w:rFonts w:ascii="Arial" w:hAnsi="Arial" w:cs="Arial"/>
          <w:b/>
          <w:lang w:val="en-ZA"/>
        </w:rPr>
        <w:t>Re</w:t>
      </w:r>
      <w:r w:rsidR="005557F6" w:rsidRPr="005557F6">
        <w:rPr>
          <w:rFonts w:ascii="Arial" w:hAnsi="Arial" w:cs="Arial"/>
          <w:b/>
          <w:lang w:val="en-ZA"/>
        </w:rPr>
        <w:t>ply</w:t>
      </w:r>
    </w:p>
    <w:p w:rsidR="00E56B26" w:rsidRPr="00E56B26" w:rsidRDefault="00E56B26" w:rsidP="00E56B26">
      <w:pPr>
        <w:pStyle w:val="ListParagraph"/>
        <w:numPr>
          <w:ilvl w:val="0"/>
          <w:numId w:val="16"/>
        </w:numPr>
        <w:spacing w:before="100" w:beforeAutospacing="1" w:after="100" w:afterAutospacing="1" w:line="360" w:lineRule="auto"/>
        <w:ind w:left="714" w:hanging="357"/>
        <w:rPr>
          <w:rFonts w:ascii="Arial" w:hAnsi="Arial" w:cs="Arial"/>
          <w:lang w:val="en-ZA"/>
        </w:rPr>
      </w:pPr>
      <w:r w:rsidRPr="00B766E8">
        <w:rPr>
          <w:rFonts w:ascii="Arial" w:eastAsiaTheme="minorHAnsi" w:hAnsi="Arial" w:cs="Arial"/>
          <w:szCs w:val="24"/>
          <w:lang w:val="en-ZA"/>
        </w:rPr>
        <w:t>The mine was established under the Minerals Act, 1951 and the miming right was converted into a new order new mining right in terms of the Mineral Petroleum Development Act 28 of 2002.</w:t>
      </w:r>
    </w:p>
    <w:p w:rsidR="00E56B26" w:rsidRPr="00E56B26" w:rsidRDefault="00E56B26" w:rsidP="00E56B26">
      <w:pPr>
        <w:pStyle w:val="ListParagraph"/>
        <w:spacing w:before="100" w:beforeAutospacing="1" w:after="100" w:afterAutospacing="1" w:line="360" w:lineRule="auto"/>
        <w:ind w:left="714"/>
        <w:rPr>
          <w:rFonts w:ascii="Arial" w:hAnsi="Arial" w:cs="Arial"/>
          <w:lang w:val="en-ZA"/>
        </w:rPr>
      </w:pPr>
    </w:p>
    <w:p w:rsidR="00E56B26" w:rsidRDefault="00E56B26" w:rsidP="00E56B26">
      <w:pPr>
        <w:pStyle w:val="ListParagraph"/>
        <w:numPr>
          <w:ilvl w:val="0"/>
          <w:numId w:val="16"/>
        </w:numPr>
        <w:spacing w:before="100" w:beforeAutospacing="1" w:after="100" w:afterAutospacing="1" w:line="360" w:lineRule="auto"/>
        <w:ind w:left="714" w:hanging="357"/>
        <w:outlineLvl w:val="0"/>
        <w:rPr>
          <w:rFonts w:ascii="Arial" w:eastAsiaTheme="minorHAnsi" w:hAnsi="Arial" w:cs="Arial"/>
          <w:szCs w:val="24"/>
          <w:lang w:val="en-ZA"/>
        </w:rPr>
      </w:pPr>
      <w:r w:rsidRPr="00E56B26">
        <w:rPr>
          <w:rFonts w:ascii="Arial" w:eastAsiaTheme="minorHAnsi" w:hAnsi="Arial" w:cs="Arial"/>
          <w:szCs w:val="24"/>
          <w:lang w:val="en-ZA"/>
        </w:rPr>
        <w:t>Approximately 200M from the actual mining footprint to Barden Pawel road in Khayelitsha</w:t>
      </w:r>
    </w:p>
    <w:p w:rsidR="00E56B26" w:rsidRPr="00E56B26" w:rsidRDefault="00E56B26" w:rsidP="00E56B26">
      <w:pPr>
        <w:pStyle w:val="ListParagraph"/>
        <w:rPr>
          <w:rFonts w:ascii="Arial" w:eastAsiaTheme="minorHAnsi" w:hAnsi="Arial" w:cs="Arial"/>
          <w:szCs w:val="24"/>
          <w:lang w:val="en-ZA"/>
        </w:rPr>
      </w:pPr>
    </w:p>
    <w:p w:rsidR="00E56B26" w:rsidRPr="00E56B26" w:rsidRDefault="00E56B26" w:rsidP="00E56B26">
      <w:pPr>
        <w:pStyle w:val="ListParagraph"/>
        <w:spacing w:before="100" w:beforeAutospacing="1" w:after="100" w:afterAutospacing="1" w:line="360" w:lineRule="auto"/>
        <w:ind w:left="714"/>
        <w:outlineLvl w:val="0"/>
        <w:rPr>
          <w:rFonts w:ascii="Arial" w:eastAsiaTheme="minorHAnsi" w:hAnsi="Arial" w:cs="Arial"/>
          <w:szCs w:val="24"/>
          <w:lang w:val="en-ZA"/>
        </w:rPr>
      </w:pPr>
    </w:p>
    <w:p w:rsidR="00E56B26" w:rsidRPr="00E56B26" w:rsidRDefault="00305503" w:rsidP="00E56B26">
      <w:pPr>
        <w:pStyle w:val="ListParagraph"/>
        <w:numPr>
          <w:ilvl w:val="0"/>
          <w:numId w:val="16"/>
        </w:numPr>
        <w:spacing w:before="100" w:beforeAutospacing="1" w:after="100" w:afterAutospacing="1" w:line="360" w:lineRule="auto"/>
        <w:ind w:left="714" w:hanging="357"/>
        <w:outlineLvl w:val="0"/>
        <w:rPr>
          <w:rFonts w:ascii="Arial" w:eastAsiaTheme="minorHAnsi" w:hAnsi="Arial" w:cs="Arial"/>
          <w:szCs w:val="24"/>
          <w:lang w:val="en-ZA"/>
        </w:rPr>
      </w:pPr>
      <w:r>
        <w:rPr>
          <w:rFonts w:ascii="Arial" w:eastAsiaTheme="minorHAnsi" w:hAnsi="Arial" w:cs="Arial"/>
          <w:szCs w:val="24"/>
          <w:lang w:val="en-ZA"/>
        </w:rPr>
        <w:t xml:space="preserve">Yes, the distance complies with Regulation 17.7(a) of Mine Health and Safety Act No. 29 of 1996. </w:t>
      </w:r>
    </w:p>
    <w:p w:rsidR="00E56B26" w:rsidRDefault="00E56B26" w:rsidP="00E56B26">
      <w:pPr>
        <w:pStyle w:val="ListParagraph"/>
        <w:spacing w:before="100" w:beforeAutospacing="1" w:after="100" w:afterAutospacing="1" w:line="360" w:lineRule="auto"/>
        <w:ind w:left="714"/>
        <w:outlineLvl w:val="0"/>
        <w:rPr>
          <w:rFonts w:ascii="Arial" w:eastAsiaTheme="minorHAnsi" w:hAnsi="Arial" w:cs="Arial"/>
          <w:szCs w:val="24"/>
          <w:lang w:val="en-ZA"/>
        </w:rPr>
      </w:pPr>
    </w:p>
    <w:p w:rsidR="00E56B26" w:rsidRDefault="00E56B26" w:rsidP="00E56B26">
      <w:pPr>
        <w:pStyle w:val="ListParagraph"/>
        <w:spacing w:before="100" w:beforeAutospacing="1" w:after="100" w:afterAutospacing="1" w:line="360" w:lineRule="auto"/>
        <w:ind w:left="714"/>
        <w:outlineLvl w:val="0"/>
        <w:rPr>
          <w:rFonts w:ascii="Arial" w:eastAsiaTheme="minorHAnsi" w:hAnsi="Arial" w:cs="Arial"/>
          <w:szCs w:val="24"/>
          <w:lang w:val="en-ZA"/>
        </w:rPr>
      </w:pPr>
    </w:p>
    <w:p w:rsidR="00E56B26" w:rsidRDefault="00E56B26" w:rsidP="00E56B26">
      <w:pPr>
        <w:pStyle w:val="ListParagraph"/>
        <w:spacing w:before="100" w:beforeAutospacing="1" w:after="100" w:afterAutospacing="1" w:line="360" w:lineRule="auto"/>
        <w:ind w:left="714"/>
        <w:outlineLvl w:val="0"/>
        <w:rPr>
          <w:rFonts w:ascii="Arial" w:eastAsiaTheme="minorHAnsi" w:hAnsi="Arial" w:cs="Arial"/>
          <w:szCs w:val="24"/>
          <w:lang w:val="en-ZA"/>
        </w:rPr>
      </w:pPr>
    </w:p>
    <w:p w:rsidR="00E56B26" w:rsidRPr="00E56B26" w:rsidRDefault="00E56B26" w:rsidP="00E56B26">
      <w:pPr>
        <w:pStyle w:val="ListParagraph"/>
        <w:spacing w:before="100" w:beforeAutospacing="1" w:after="100" w:afterAutospacing="1" w:line="360" w:lineRule="auto"/>
        <w:ind w:left="714"/>
        <w:outlineLvl w:val="0"/>
        <w:rPr>
          <w:rFonts w:ascii="Arial" w:eastAsiaTheme="minorHAnsi" w:hAnsi="Arial" w:cs="Arial"/>
          <w:szCs w:val="24"/>
          <w:lang w:val="en-ZA"/>
        </w:rPr>
      </w:pPr>
    </w:p>
    <w:p w:rsidR="00E56B26" w:rsidRPr="00E56B26" w:rsidRDefault="00E56B26" w:rsidP="00E56B26">
      <w:pPr>
        <w:pStyle w:val="ListParagraph"/>
        <w:numPr>
          <w:ilvl w:val="0"/>
          <w:numId w:val="16"/>
        </w:numPr>
        <w:spacing w:before="100" w:beforeAutospacing="1" w:after="100" w:afterAutospacing="1" w:line="360" w:lineRule="auto"/>
        <w:ind w:left="714" w:hanging="357"/>
        <w:rPr>
          <w:rFonts w:ascii="Arial" w:hAnsi="Arial" w:cs="Arial"/>
          <w:lang w:val="en-ZA"/>
        </w:rPr>
      </w:pPr>
    </w:p>
    <w:p w:rsidR="00E56B26" w:rsidRPr="00E71692" w:rsidRDefault="00E56B26" w:rsidP="00E56B26">
      <w:pPr>
        <w:spacing w:line="360" w:lineRule="auto"/>
        <w:rPr>
          <w:rFonts w:ascii="Arial" w:hAnsi="Arial" w:cs="Arial"/>
          <w:b/>
        </w:rPr>
      </w:pPr>
      <w:r w:rsidRPr="00E71692">
        <w:rPr>
          <w:rFonts w:ascii="Arial" w:hAnsi="Arial" w:cs="Arial"/>
          <w:b/>
        </w:rPr>
        <w:lastRenderedPageBreak/>
        <w:t>Project 1:</w:t>
      </w:r>
      <w:r w:rsidRPr="00E71692">
        <w:t xml:space="preserve"> </w:t>
      </w:r>
      <w:r w:rsidRPr="00E71692">
        <w:rPr>
          <w:rFonts w:ascii="Arial" w:hAnsi="Arial" w:cs="Arial"/>
          <w:b/>
        </w:rPr>
        <w:t>Construction of a</w:t>
      </w:r>
      <w:r>
        <w:rPr>
          <w:rFonts w:ascii="Arial" w:hAnsi="Arial" w:cs="Arial"/>
          <w:b/>
        </w:rPr>
        <w:t>n E-Learning Centre in Wesbank C</w:t>
      </w:r>
      <w:r w:rsidRPr="00E71692">
        <w:rPr>
          <w:rFonts w:ascii="Arial" w:hAnsi="Arial" w:cs="Arial"/>
          <w:b/>
        </w:rPr>
        <w:t>ommunity in 2015</w:t>
      </w:r>
    </w:p>
    <w:p w:rsidR="00E56B26" w:rsidRDefault="00E56B26" w:rsidP="00E56B26">
      <w:pPr>
        <w:spacing w:line="360" w:lineRule="auto"/>
        <w:rPr>
          <w:rFonts w:ascii="Arial" w:hAnsi="Arial" w:cs="Arial"/>
        </w:rPr>
      </w:pPr>
      <w:r w:rsidRPr="00E71692">
        <w:rPr>
          <w:rFonts w:ascii="Arial" w:hAnsi="Arial" w:cs="Arial"/>
        </w:rPr>
        <w:t>The centre combines E-Learning (learning through Information and Technology) and library services on the boundary of a school for easy access to the community and learners from neighbouring schools, in terms of a broader need for new facilities at old schools.  The Community Learning Centre is established at Hoofweg Primary School, Wesbank.  Wesbank is an under-resourced area with a high crime rate, overcrowded schools, high unemployment, and low occurrence of employment opportunities. A large majority of the residents have not completed high school and the unemployment rates reach at least 43%.</w:t>
      </w:r>
    </w:p>
    <w:p w:rsidR="00E56B26" w:rsidRDefault="00E56B26" w:rsidP="00E56B26">
      <w:pPr>
        <w:spacing w:line="360" w:lineRule="auto"/>
        <w:rPr>
          <w:rFonts w:ascii="Arial" w:hAnsi="Arial" w:cs="Arial"/>
        </w:rPr>
      </w:pPr>
      <w:r>
        <w:rPr>
          <w:rFonts w:ascii="Arial" w:hAnsi="Arial" w:cs="Arial"/>
        </w:rPr>
        <w:t>Social Benefits:</w:t>
      </w:r>
    </w:p>
    <w:p w:rsidR="00E56B26" w:rsidRPr="00E71692" w:rsidRDefault="00E56B26" w:rsidP="00E56B26">
      <w:pPr>
        <w:pStyle w:val="ListParagraph"/>
        <w:numPr>
          <w:ilvl w:val="0"/>
          <w:numId w:val="18"/>
        </w:numPr>
        <w:spacing w:after="160" w:line="360" w:lineRule="auto"/>
        <w:rPr>
          <w:rFonts w:ascii="Arial" w:hAnsi="Arial" w:cs="Arial"/>
        </w:rPr>
      </w:pPr>
      <w:r w:rsidRPr="00E71692">
        <w:rPr>
          <w:rFonts w:ascii="Arial" w:hAnsi="Arial" w:cs="Arial"/>
        </w:rPr>
        <w:t>Leverage teaching through building a culture of learning in the home</w:t>
      </w:r>
    </w:p>
    <w:p w:rsidR="00E56B26" w:rsidRPr="00E71692" w:rsidRDefault="00E56B26" w:rsidP="00E56B26">
      <w:pPr>
        <w:pStyle w:val="ListParagraph"/>
        <w:numPr>
          <w:ilvl w:val="0"/>
          <w:numId w:val="18"/>
        </w:numPr>
        <w:spacing w:after="160" w:line="360" w:lineRule="auto"/>
        <w:rPr>
          <w:rFonts w:ascii="Arial" w:hAnsi="Arial" w:cs="Arial"/>
        </w:rPr>
      </w:pPr>
      <w:r w:rsidRPr="00E71692">
        <w:rPr>
          <w:rFonts w:ascii="Arial" w:hAnsi="Arial" w:cs="Arial"/>
        </w:rPr>
        <w:t xml:space="preserve">Using parents’ and children’s literacy to leverage learning </w:t>
      </w:r>
    </w:p>
    <w:p w:rsidR="00E56B26" w:rsidRPr="00E71692" w:rsidRDefault="00E56B26" w:rsidP="00E56B26">
      <w:pPr>
        <w:pStyle w:val="ListParagraph"/>
        <w:numPr>
          <w:ilvl w:val="0"/>
          <w:numId w:val="18"/>
        </w:numPr>
        <w:spacing w:after="160" w:line="360" w:lineRule="auto"/>
        <w:rPr>
          <w:rFonts w:ascii="Arial" w:hAnsi="Arial" w:cs="Arial"/>
        </w:rPr>
      </w:pPr>
      <w:r w:rsidRPr="00E71692">
        <w:rPr>
          <w:rFonts w:ascii="Arial" w:hAnsi="Arial" w:cs="Arial"/>
        </w:rPr>
        <w:t>Locate Community Learning Centres at primary schools</w:t>
      </w:r>
    </w:p>
    <w:p w:rsidR="00E56B26" w:rsidRPr="00E71692" w:rsidRDefault="00E56B26" w:rsidP="00E56B26">
      <w:pPr>
        <w:spacing w:line="360" w:lineRule="auto"/>
        <w:rPr>
          <w:rFonts w:ascii="Arial" w:hAnsi="Arial" w:cs="Arial"/>
        </w:rPr>
      </w:pPr>
      <w:r w:rsidRPr="00E71692">
        <w:rPr>
          <w:rFonts w:ascii="Arial" w:hAnsi="Arial" w:cs="Arial"/>
        </w:rPr>
        <w:t>Educational Benefits:</w:t>
      </w:r>
    </w:p>
    <w:p w:rsidR="00E56B26" w:rsidRPr="00E71692" w:rsidRDefault="00E56B26" w:rsidP="00E56B26">
      <w:pPr>
        <w:pStyle w:val="ListParagraph"/>
        <w:numPr>
          <w:ilvl w:val="0"/>
          <w:numId w:val="19"/>
        </w:numPr>
        <w:spacing w:after="160" w:line="360" w:lineRule="auto"/>
        <w:rPr>
          <w:rFonts w:ascii="Arial" w:hAnsi="Arial" w:cs="Arial"/>
        </w:rPr>
      </w:pPr>
      <w:r w:rsidRPr="00E71692">
        <w:rPr>
          <w:rFonts w:ascii="Arial" w:hAnsi="Arial" w:cs="Arial"/>
        </w:rPr>
        <w:t>Integrated print and digital media lessons</w:t>
      </w:r>
    </w:p>
    <w:p w:rsidR="00E56B26" w:rsidRPr="00E71692" w:rsidRDefault="00E56B26" w:rsidP="00E56B26">
      <w:pPr>
        <w:pStyle w:val="ListParagraph"/>
        <w:numPr>
          <w:ilvl w:val="0"/>
          <w:numId w:val="19"/>
        </w:numPr>
        <w:spacing w:after="160" w:line="360" w:lineRule="auto"/>
        <w:rPr>
          <w:rFonts w:ascii="Arial" w:hAnsi="Arial" w:cs="Arial"/>
        </w:rPr>
      </w:pPr>
      <w:r w:rsidRPr="00E71692">
        <w:rPr>
          <w:rFonts w:ascii="Arial" w:hAnsi="Arial" w:cs="Arial"/>
        </w:rPr>
        <w:t>Equivalent emphasis on books and computers</w:t>
      </w:r>
    </w:p>
    <w:p w:rsidR="00E56B26" w:rsidRPr="00E71692" w:rsidRDefault="00E56B26" w:rsidP="00E56B26">
      <w:pPr>
        <w:pStyle w:val="ListParagraph"/>
        <w:numPr>
          <w:ilvl w:val="0"/>
          <w:numId w:val="19"/>
        </w:numPr>
        <w:spacing w:after="160" w:line="360" w:lineRule="auto"/>
        <w:rPr>
          <w:rFonts w:ascii="Arial" w:hAnsi="Arial" w:cs="Arial"/>
        </w:rPr>
      </w:pPr>
      <w:r w:rsidRPr="00E71692">
        <w:rPr>
          <w:rFonts w:ascii="Arial" w:hAnsi="Arial" w:cs="Arial"/>
        </w:rPr>
        <w:t xml:space="preserve">Multiple modes of learning </w:t>
      </w:r>
    </w:p>
    <w:p w:rsidR="00E56B26" w:rsidRPr="00E71692" w:rsidRDefault="00E56B26" w:rsidP="00E56B26">
      <w:pPr>
        <w:pStyle w:val="ListParagraph"/>
        <w:numPr>
          <w:ilvl w:val="0"/>
          <w:numId w:val="19"/>
        </w:numPr>
        <w:spacing w:after="160" w:line="360" w:lineRule="auto"/>
        <w:rPr>
          <w:rFonts w:ascii="Arial" w:hAnsi="Arial" w:cs="Arial"/>
        </w:rPr>
      </w:pPr>
      <w:r w:rsidRPr="00E71692">
        <w:rPr>
          <w:rFonts w:ascii="Arial" w:hAnsi="Arial" w:cs="Arial"/>
        </w:rPr>
        <w:t>Measurable outcomes</w:t>
      </w:r>
    </w:p>
    <w:p w:rsidR="00E56B26" w:rsidRDefault="00E56B26" w:rsidP="00E56B26">
      <w:pPr>
        <w:spacing w:line="360" w:lineRule="auto"/>
        <w:rPr>
          <w:rFonts w:ascii="Arial" w:hAnsi="Arial" w:cs="Arial"/>
        </w:rPr>
      </w:pPr>
      <w:r w:rsidRPr="00E71692">
        <w:rPr>
          <w:rFonts w:ascii="Arial" w:hAnsi="Arial" w:cs="Arial"/>
        </w:rPr>
        <w:t>Holcim spent R2.9 million towards this initiative.</w:t>
      </w:r>
    </w:p>
    <w:p w:rsidR="00E56B26" w:rsidRDefault="00E56B26" w:rsidP="00E56B26">
      <w:pPr>
        <w:spacing w:line="360" w:lineRule="auto"/>
        <w:rPr>
          <w:rFonts w:ascii="Arial" w:hAnsi="Arial" w:cs="Arial"/>
        </w:rPr>
      </w:pPr>
    </w:p>
    <w:p w:rsidR="00E56B26" w:rsidRDefault="00E56B26" w:rsidP="00E56B26">
      <w:pPr>
        <w:spacing w:line="360" w:lineRule="auto"/>
        <w:rPr>
          <w:rFonts w:ascii="Arial" w:hAnsi="Arial" w:cs="Arial"/>
          <w:b/>
        </w:rPr>
      </w:pPr>
      <w:r w:rsidRPr="00E71692">
        <w:rPr>
          <w:rFonts w:ascii="Arial" w:hAnsi="Arial" w:cs="Arial"/>
          <w:b/>
        </w:rPr>
        <w:t>Project 2: Construction of a Library</w:t>
      </w:r>
    </w:p>
    <w:p w:rsidR="00E56B26" w:rsidRDefault="00E56B26" w:rsidP="00E56B26">
      <w:pPr>
        <w:spacing w:line="360" w:lineRule="auto"/>
        <w:rPr>
          <w:rFonts w:ascii="Arial" w:hAnsi="Arial" w:cs="Arial"/>
        </w:rPr>
      </w:pPr>
      <w:r>
        <w:rPr>
          <w:rFonts w:ascii="Arial" w:hAnsi="Arial" w:cs="Arial"/>
        </w:rPr>
        <w:t xml:space="preserve">The library is the second phase of the above-mentioned E-Learning Centre project. The library will be constructed </w:t>
      </w:r>
      <w:r w:rsidRPr="00E71692">
        <w:rPr>
          <w:rFonts w:ascii="Arial" w:hAnsi="Arial" w:cs="Arial"/>
        </w:rPr>
        <w:t>adja</w:t>
      </w:r>
      <w:r>
        <w:rPr>
          <w:rFonts w:ascii="Arial" w:hAnsi="Arial" w:cs="Arial"/>
        </w:rPr>
        <w:t xml:space="preserve">cent to the E-Learning Centre. </w:t>
      </w:r>
      <w:r w:rsidRPr="00E71692">
        <w:rPr>
          <w:rFonts w:ascii="Arial" w:hAnsi="Arial" w:cs="Arial"/>
        </w:rPr>
        <w:t>Implementation of this project is due to start at the beginning of 2019. The budget committed is R5 million.</w:t>
      </w:r>
    </w:p>
    <w:p w:rsidR="00E56B26" w:rsidRDefault="00E56B26" w:rsidP="00E56B26">
      <w:pPr>
        <w:spacing w:line="360" w:lineRule="auto"/>
        <w:rPr>
          <w:rFonts w:ascii="Arial" w:hAnsi="Arial" w:cs="Arial"/>
        </w:rPr>
      </w:pPr>
    </w:p>
    <w:p w:rsidR="00E56B26" w:rsidRPr="00E71692" w:rsidRDefault="00E56B26" w:rsidP="00E56B26">
      <w:pPr>
        <w:spacing w:line="360" w:lineRule="auto"/>
        <w:rPr>
          <w:rFonts w:ascii="Arial" w:hAnsi="Arial" w:cs="Arial"/>
          <w:b/>
        </w:rPr>
      </w:pPr>
      <w:r w:rsidRPr="00E71692">
        <w:rPr>
          <w:rFonts w:ascii="Arial" w:hAnsi="Arial" w:cs="Arial"/>
          <w:b/>
        </w:rPr>
        <w:t xml:space="preserve">Project 3: Khayelitsha Capacity Building for Disadvantaged Youth </w:t>
      </w:r>
    </w:p>
    <w:p w:rsidR="00E56B26" w:rsidRDefault="00E56B26" w:rsidP="00E56B26">
      <w:pPr>
        <w:spacing w:line="360" w:lineRule="auto"/>
        <w:rPr>
          <w:rFonts w:ascii="Arial" w:hAnsi="Arial" w:cs="Arial"/>
        </w:rPr>
      </w:pPr>
      <w:r>
        <w:rPr>
          <w:rFonts w:ascii="Arial" w:hAnsi="Arial" w:cs="Arial"/>
        </w:rPr>
        <w:lastRenderedPageBreak/>
        <w:t xml:space="preserve">The </w:t>
      </w:r>
      <w:r w:rsidRPr="00E71692">
        <w:rPr>
          <w:rFonts w:ascii="Arial" w:hAnsi="Arial" w:cs="Arial"/>
        </w:rPr>
        <w:t>K</w:t>
      </w:r>
      <w:r>
        <w:rPr>
          <w:rFonts w:ascii="Arial" w:hAnsi="Arial" w:cs="Arial"/>
        </w:rPr>
        <w:t>hayelitsha ‘100-UP’ Programme is an initiative driven by the University of Cape Town. It aims to build the learning c</w:t>
      </w:r>
      <w:r w:rsidRPr="00E71692">
        <w:rPr>
          <w:rFonts w:ascii="Arial" w:hAnsi="Arial" w:cs="Arial"/>
        </w:rPr>
        <w:t>apacity</w:t>
      </w:r>
      <w:r>
        <w:rPr>
          <w:rFonts w:ascii="Arial" w:hAnsi="Arial" w:cs="Arial"/>
        </w:rPr>
        <w:t xml:space="preserve"> of youth</w:t>
      </w:r>
      <w:r w:rsidRPr="00E71692">
        <w:rPr>
          <w:rFonts w:ascii="Arial" w:hAnsi="Arial" w:cs="Arial"/>
        </w:rPr>
        <w:t xml:space="preserve"> </w:t>
      </w:r>
      <w:r>
        <w:rPr>
          <w:rFonts w:ascii="Arial" w:hAnsi="Arial" w:cs="Arial"/>
        </w:rPr>
        <w:t>and to</w:t>
      </w:r>
      <w:r w:rsidRPr="00E71692">
        <w:rPr>
          <w:rFonts w:ascii="Arial" w:hAnsi="Arial" w:cs="Arial"/>
        </w:rPr>
        <w:t xml:space="preserve"> assist them enter in</w:t>
      </w:r>
      <w:r>
        <w:rPr>
          <w:rFonts w:ascii="Arial" w:hAnsi="Arial" w:cs="Arial"/>
        </w:rPr>
        <w:t xml:space="preserve">stitutions of higher learning through various training programmes. </w:t>
      </w:r>
    </w:p>
    <w:p w:rsidR="00E56B26" w:rsidRDefault="00E56B26" w:rsidP="00E56B26">
      <w:pPr>
        <w:spacing w:line="360" w:lineRule="auto"/>
        <w:rPr>
          <w:rFonts w:ascii="Arial" w:hAnsi="Arial" w:cs="Arial"/>
        </w:rPr>
      </w:pPr>
      <w:r>
        <w:rPr>
          <w:rFonts w:ascii="Arial" w:hAnsi="Arial" w:cs="Arial"/>
        </w:rPr>
        <w:t xml:space="preserve">In conjunction with UCT, Holcim’s contribution will fund training for the youth of Khayelitsha. Implementation of this initiative </w:t>
      </w:r>
      <w:r w:rsidRPr="00E71692">
        <w:rPr>
          <w:rFonts w:ascii="Arial" w:hAnsi="Arial" w:cs="Arial"/>
        </w:rPr>
        <w:t>will commence at the beginning of 2019. The committed budget is R810 000.</w:t>
      </w:r>
    </w:p>
    <w:p w:rsidR="00E56B26" w:rsidRPr="00E56B26" w:rsidRDefault="00E56B26" w:rsidP="00E56B26">
      <w:pPr>
        <w:pStyle w:val="ListParagraph"/>
        <w:spacing w:before="100" w:beforeAutospacing="1" w:after="100" w:afterAutospacing="1" w:line="360" w:lineRule="auto"/>
        <w:ind w:left="714"/>
        <w:rPr>
          <w:rFonts w:ascii="Arial" w:hAnsi="Arial" w:cs="Arial"/>
          <w:lang w:val="en-ZA"/>
        </w:rPr>
      </w:pPr>
    </w:p>
    <w:p w:rsidR="00BB434F" w:rsidRPr="001D4A99" w:rsidRDefault="00BB434F" w:rsidP="001D4A99">
      <w:pPr>
        <w:spacing w:before="100" w:beforeAutospacing="1" w:after="100" w:afterAutospacing="1" w:line="360" w:lineRule="auto"/>
        <w:rPr>
          <w:rFonts w:ascii="Arial" w:hAnsi="Arial" w:cs="Arial"/>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1234B9" w:rsidRDefault="00936D81" w:rsidP="00C21927">
      <w:pPr>
        <w:rPr>
          <w:rFonts w:ascii="Arial" w:hAnsi="Arial" w:cs="Arial"/>
          <w:b/>
          <w:szCs w:val="24"/>
          <w:lang w:val="en-ZA"/>
        </w:rPr>
      </w:pPr>
      <w:r>
        <w:rPr>
          <w:rFonts w:ascii="Arial" w:hAnsi="Arial" w:cs="Arial"/>
          <w:b/>
          <w:szCs w:val="24"/>
          <w:lang w:val="en-ZA"/>
        </w:rPr>
        <w:t>Mr SG Mantashe</w:t>
      </w:r>
      <w:r w:rsidR="008465AE" w:rsidRPr="008465AE">
        <w:rPr>
          <w:rFonts w:ascii="Arial" w:hAnsi="Arial" w:cs="Arial"/>
          <w:b/>
          <w:szCs w:val="24"/>
          <w:lang w:val="en-ZA"/>
        </w:rPr>
        <w:t xml:space="preserve"> </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Pr="008465AE"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936D81">
        <w:rPr>
          <w:rFonts w:ascii="Arial" w:hAnsi="Arial" w:cs="Arial"/>
          <w:szCs w:val="24"/>
          <w:lang w:val="en-ZA"/>
        </w:rPr>
        <w:t>18</w:t>
      </w:r>
    </w:p>
    <w:p w:rsidR="0024652D" w:rsidRDefault="0024652D"/>
    <w:p w:rsidR="0024652D" w:rsidRDefault="0024652D"/>
    <w:p w:rsidR="0024652D" w:rsidRDefault="0024652D"/>
    <w:p w:rsidR="0024652D" w:rsidRDefault="0024652D"/>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454" w:rsidRDefault="00867454" w:rsidP="0012321F">
      <w:r>
        <w:separator/>
      </w:r>
    </w:p>
  </w:endnote>
  <w:endnote w:type="continuationSeparator" w:id="0">
    <w:p w:rsidR="00867454" w:rsidRDefault="00867454" w:rsidP="0012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454" w:rsidRDefault="00867454" w:rsidP="0012321F">
      <w:r>
        <w:separator/>
      </w:r>
    </w:p>
  </w:footnote>
  <w:footnote w:type="continuationSeparator" w:id="0">
    <w:p w:rsidR="00867454" w:rsidRDefault="00867454"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C4" w:rsidRDefault="00E677C4">
    <w:pPr>
      <w:pStyle w:val="Header"/>
      <w:rPr>
        <w:rFonts w:ascii="Trebuchet MS" w:hAnsi="Trebuchet MS"/>
        <w:b/>
        <w:bCs/>
      </w:rPr>
    </w:pPr>
    <w:r>
      <w:rPr>
        <w:rFonts w:ascii="Trebuchet MS" w:hAnsi="Trebuchet MS"/>
        <w:b/>
        <w:bCs/>
        <w:noProof/>
        <w:snapToGrid/>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079802AF"/>
    <w:multiLevelType w:val="hybridMultilevel"/>
    <w:tmpl w:val="1902DCE2"/>
    <w:lvl w:ilvl="0" w:tplc="DF044D8A">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8391653"/>
    <w:multiLevelType w:val="hybridMultilevel"/>
    <w:tmpl w:val="970AE568"/>
    <w:lvl w:ilvl="0" w:tplc="16DA314C">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A1D7533"/>
    <w:multiLevelType w:val="hybridMultilevel"/>
    <w:tmpl w:val="F7980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4380E"/>
    <w:multiLevelType w:val="hybridMultilevel"/>
    <w:tmpl w:val="F52AFEEA"/>
    <w:lvl w:ilvl="0" w:tplc="FCAE29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nsid w:val="3BDE61DC"/>
    <w:multiLevelType w:val="hybridMultilevel"/>
    <w:tmpl w:val="A1FCB508"/>
    <w:lvl w:ilvl="0" w:tplc="226C12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4BA40DB0"/>
    <w:multiLevelType w:val="hybridMultilevel"/>
    <w:tmpl w:val="CEA674DA"/>
    <w:lvl w:ilvl="0" w:tplc="4336F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42250"/>
    <w:multiLevelType w:val="hybridMultilevel"/>
    <w:tmpl w:val="B588D1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11303BD"/>
    <w:multiLevelType w:val="hybridMultilevel"/>
    <w:tmpl w:val="ED2AFA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553E610F"/>
    <w:multiLevelType w:val="hybridMultilevel"/>
    <w:tmpl w:val="9CCCA6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700E4A"/>
    <w:multiLevelType w:val="hybridMultilevel"/>
    <w:tmpl w:val="4E1E6E8E"/>
    <w:lvl w:ilvl="0" w:tplc="95AC566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8"/>
  </w:num>
  <w:num w:numId="4">
    <w:abstractNumId w:val="1"/>
  </w:num>
  <w:num w:numId="5">
    <w:abstractNumId w:val="8"/>
  </w:num>
  <w:num w:numId="6">
    <w:abstractNumId w:val="5"/>
  </w:num>
  <w:num w:numId="7">
    <w:abstractNumId w:val="7"/>
  </w:num>
  <w:num w:numId="8">
    <w:abstractNumId w:val="10"/>
  </w:num>
  <w:num w:numId="9">
    <w:abstractNumId w:val="17"/>
  </w:num>
  <w:num w:numId="10">
    <w:abstractNumId w:val="16"/>
  </w:num>
  <w:num w:numId="11">
    <w:abstractNumId w:val="11"/>
  </w:num>
  <w:num w:numId="12">
    <w:abstractNumId w:val="3"/>
  </w:num>
  <w:num w:numId="13">
    <w:abstractNumId w:val="6"/>
  </w:num>
  <w:num w:numId="14">
    <w:abstractNumId w:val="2"/>
  </w:num>
  <w:num w:numId="15">
    <w:abstractNumId w:val="4"/>
  </w:num>
  <w:num w:numId="16">
    <w:abstractNumId w:val="9"/>
  </w:num>
  <w:num w:numId="17">
    <w:abstractNumId w:val="13"/>
  </w:num>
  <w:num w:numId="18">
    <w:abstractNumId w:val="1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rsids>
    <w:rsidRoot w:val="009E7F84"/>
    <w:rsid w:val="0000608C"/>
    <w:rsid w:val="00007232"/>
    <w:rsid w:val="00020D35"/>
    <w:rsid w:val="00024D66"/>
    <w:rsid w:val="000270C4"/>
    <w:rsid w:val="00033112"/>
    <w:rsid w:val="00047550"/>
    <w:rsid w:val="000530B0"/>
    <w:rsid w:val="00073630"/>
    <w:rsid w:val="00080FDA"/>
    <w:rsid w:val="00092BBD"/>
    <w:rsid w:val="000D0086"/>
    <w:rsid w:val="0012321F"/>
    <w:rsid w:val="001234B9"/>
    <w:rsid w:val="00140786"/>
    <w:rsid w:val="00142115"/>
    <w:rsid w:val="00153858"/>
    <w:rsid w:val="00161355"/>
    <w:rsid w:val="001C29FE"/>
    <w:rsid w:val="001D1498"/>
    <w:rsid w:val="001D4A99"/>
    <w:rsid w:val="001F4B6F"/>
    <w:rsid w:val="002312A6"/>
    <w:rsid w:val="00242027"/>
    <w:rsid w:val="00245861"/>
    <w:rsid w:val="0024652D"/>
    <w:rsid w:val="00250E00"/>
    <w:rsid w:val="002552C6"/>
    <w:rsid w:val="002555DE"/>
    <w:rsid w:val="00255638"/>
    <w:rsid w:val="00271A0D"/>
    <w:rsid w:val="002803CB"/>
    <w:rsid w:val="002838E1"/>
    <w:rsid w:val="00294F5D"/>
    <w:rsid w:val="002C4587"/>
    <w:rsid w:val="002D378D"/>
    <w:rsid w:val="002F32B6"/>
    <w:rsid w:val="00305503"/>
    <w:rsid w:val="003067FE"/>
    <w:rsid w:val="00311A6F"/>
    <w:rsid w:val="0031331C"/>
    <w:rsid w:val="00322C6A"/>
    <w:rsid w:val="00342AA4"/>
    <w:rsid w:val="00343991"/>
    <w:rsid w:val="00360282"/>
    <w:rsid w:val="003653EA"/>
    <w:rsid w:val="0037542B"/>
    <w:rsid w:val="00393ADF"/>
    <w:rsid w:val="00396BEC"/>
    <w:rsid w:val="003B1FA5"/>
    <w:rsid w:val="003B7A03"/>
    <w:rsid w:val="003D3AC3"/>
    <w:rsid w:val="003D7AA4"/>
    <w:rsid w:val="003E1588"/>
    <w:rsid w:val="003F1003"/>
    <w:rsid w:val="00400961"/>
    <w:rsid w:val="0040369E"/>
    <w:rsid w:val="00413030"/>
    <w:rsid w:val="00415C66"/>
    <w:rsid w:val="00420BEB"/>
    <w:rsid w:val="004219C1"/>
    <w:rsid w:val="00431CA3"/>
    <w:rsid w:val="00434280"/>
    <w:rsid w:val="00453E03"/>
    <w:rsid w:val="004568DE"/>
    <w:rsid w:val="0047214E"/>
    <w:rsid w:val="00481E65"/>
    <w:rsid w:val="004859C3"/>
    <w:rsid w:val="004A090B"/>
    <w:rsid w:val="004A1D94"/>
    <w:rsid w:val="004D7CCF"/>
    <w:rsid w:val="004F0568"/>
    <w:rsid w:val="004F4DFF"/>
    <w:rsid w:val="005229A3"/>
    <w:rsid w:val="00552B58"/>
    <w:rsid w:val="005557F6"/>
    <w:rsid w:val="005625C5"/>
    <w:rsid w:val="005630FC"/>
    <w:rsid w:val="005700EF"/>
    <w:rsid w:val="005739B1"/>
    <w:rsid w:val="005745B0"/>
    <w:rsid w:val="00577CB1"/>
    <w:rsid w:val="005926A4"/>
    <w:rsid w:val="00592FE8"/>
    <w:rsid w:val="005C10C6"/>
    <w:rsid w:val="005C3913"/>
    <w:rsid w:val="005D199F"/>
    <w:rsid w:val="005D7A8A"/>
    <w:rsid w:val="005E6F15"/>
    <w:rsid w:val="005F2AB8"/>
    <w:rsid w:val="005F42C7"/>
    <w:rsid w:val="00637660"/>
    <w:rsid w:val="00650D3B"/>
    <w:rsid w:val="006779F0"/>
    <w:rsid w:val="006813C3"/>
    <w:rsid w:val="00683EA0"/>
    <w:rsid w:val="006C1B76"/>
    <w:rsid w:val="006E0049"/>
    <w:rsid w:val="007009AE"/>
    <w:rsid w:val="00710E05"/>
    <w:rsid w:val="007129F7"/>
    <w:rsid w:val="00724221"/>
    <w:rsid w:val="007248BE"/>
    <w:rsid w:val="00735993"/>
    <w:rsid w:val="00740702"/>
    <w:rsid w:val="007658F5"/>
    <w:rsid w:val="0077306F"/>
    <w:rsid w:val="00773208"/>
    <w:rsid w:val="00776383"/>
    <w:rsid w:val="00784604"/>
    <w:rsid w:val="00785489"/>
    <w:rsid w:val="007A0F40"/>
    <w:rsid w:val="007B3608"/>
    <w:rsid w:val="007B73E5"/>
    <w:rsid w:val="007D2AA0"/>
    <w:rsid w:val="007D5D3D"/>
    <w:rsid w:val="007E6206"/>
    <w:rsid w:val="007F708D"/>
    <w:rsid w:val="0083753D"/>
    <w:rsid w:val="008465AE"/>
    <w:rsid w:val="008469F4"/>
    <w:rsid w:val="00853CA4"/>
    <w:rsid w:val="00867454"/>
    <w:rsid w:val="00872C97"/>
    <w:rsid w:val="008838EC"/>
    <w:rsid w:val="008873EA"/>
    <w:rsid w:val="008A0458"/>
    <w:rsid w:val="008B33A5"/>
    <w:rsid w:val="008B51C1"/>
    <w:rsid w:val="008C7E76"/>
    <w:rsid w:val="008E3BE8"/>
    <w:rsid w:val="00902564"/>
    <w:rsid w:val="00904C28"/>
    <w:rsid w:val="00920FDB"/>
    <w:rsid w:val="00926281"/>
    <w:rsid w:val="009326CD"/>
    <w:rsid w:val="009328E4"/>
    <w:rsid w:val="00936D81"/>
    <w:rsid w:val="0094670D"/>
    <w:rsid w:val="00955899"/>
    <w:rsid w:val="00973E26"/>
    <w:rsid w:val="0097467A"/>
    <w:rsid w:val="00985A6F"/>
    <w:rsid w:val="009A2D48"/>
    <w:rsid w:val="009C2715"/>
    <w:rsid w:val="009C7542"/>
    <w:rsid w:val="009D035E"/>
    <w:rsid w:val="009E7F84"/>
    <w:rsid w:val="009F5FF1"/>
    <w:rsid w:val="00A040D1"/>
    <w:rsid w:val="00A12417"/>
    <w:rsid w:val="00A431EB"/>
    <w:rsid w:val="00A46751"/>
    <w:rsid w:val="00A52A5E"/>
    <w:rsid w:val="00A55C7D"/>
    <w:rsid w:val="00A63FAF"/>
    <w:rsid w:val="00A73738"/>
    <w:rsid w:val="00A744FF"/>
    <w:rsid w:val="00A80A12"/>
    <w:rsid w:val="00A81B0B"/>
    <w:rsid w:val="00AB3942"/>
    <w:rsid w:val="00AC54CF"/>
    <w:rsid w:val="00AC6CF3"/>
    <w:rsid w:val="00AE7899"/>
    <w:rsid w:val="00AF2149"/>
    <w:rsid w:val="00AF2EBD"/>
    <w:rsid w:val="00AF62A0"/>
    <w:rsid w:val="00AF7A09"/>
    <w:rsid w:val="00B05B25"/>
    <w:rsid w:val="00B10F8B"/>
    <w:rsid w:val="00B23333"/>
    <w:rsid w:val="00B27BBA"/>
    <w:rsid w:val="00B30A74"/>
    <w:rsid w:val="00B56E60"/>
    <w:rsid w:val="00B81428"/>
    <w:rsid w:val="00B91B5B"/>
    <w:rsid w:val="00B95B9A"/>
    <w:rsid w:val="00BB434F"/>
    <w:rsid w:val="00BC1876"/>
    <w:rsid w:val="00BD43C4"/>
    <w:rsid w:val="00BD55E4"/>
    <w:rsid w:val="00BD58C0"/>
    <w:rsid w:val="00C01C23"/>
    <w:rsid w:val="00C04964"/>
    <w:rsid w:val="00C05847"/>
    <w:rsid w:val="00C05A5F"/>
    <w:rsid w:val="00C1782E"/>
    <w:rsid w:val="00C21927"/>
    <w:rsid w:val="00C30EC1"/>
    <w:rsid w:val="00C360D8"/>
    <w:rsid w:val="00C77CC9"/>
    <w:rsid w:val="00C8125C"/>
    <w:rsid w:val="00CB7801"/>
    <w:rsid w:val="00CC3376"/>
    <w:rsid w:val="00CD28D9"/>
    <w:rsid w:val="00CD3CB5"/>
    <w:rsid w:val="00CF0E84"/>
    <w:rsid w:val="00D3682A"/>
    <w:rsid w:val="00D43912"/>
    <w:rsid w:val="00D4506E"/>
    <w:rsid w:val="00D45EFB"/>
    <w:rsid w:val="00D469AD"/>
    <w:rsid w:val="00D67958"/>
    <w:rsid w:val="00D755A4"/>
    <w:rsid w:val="00D922AC"/>
    <w:rsid w:val="00D966A1"/>
    <w:rsid w:val="00DA459F"/>
    <w:rsid w:val="00DB54AC"/>
    <w:rsid w:val="00DB68B3"/>
    <w:rsid w:val="00DD5354"/>
    <w:rsid w:val="00DF10B3"/>
    <w:rsid w:val="00E17037"/>
    <w:rsid w:val="00E47E63"/>
    <w:rsid w:val="00E54818"/>
    <w:rsid w:val="00E56B26"/>
    <w:rsid w:val="00E677C4"/>
    <w:rsid w:val="00E71F77"/>
    <w:rsid w:val="00E86441"/>
    <w:rsid w:val="00EB6435"/>
    <w:rsid w:val="00ED2E43"/>
    <w:rsid w:val="00ED737B"/>
    <w:rsid w:val="00EE0A89"/>
    <w:rsid w:val="00EE24E4"/>
    <w:rsid w:val="00EF232F"/>
    <w:rsid w:val="00F04314"/>
    <w:rsid w:val="00F2065C"/>
    <w:rsid w:val="00F51A35"/>
    <w:rsid w:val="00F7145F"/>
    <w:rsid w:val="00F9259E"/>
    <w:rsid w:val="00FA2291"/>
    <w:rsid w:val="00FC0DF4"/>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1</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USER</cp:lastModifiedBy>
  <cp:revision>2</cp:revision>
  <cp:lastPrinted>2018-10-22T08:12:00Z</cp:lastPrinted>
  <dcterms:created xsi:type="dcterms:W3CDTF">2019-02-14T09:30:00Z</dcterms:created>
  <dcterms:modified xsi:type="dcterms:W3CDTF">2019-02-14T09:30:00Z</dcterms:modified>
</cp:coreProperties>
</file>