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ACB" w:rsidRDefault="00B22468">
      <w:pPr>
        <w:jc w:val="center"/>
        <w:rPr>
          <w:sz w:val="24"/>
          <w:szCs w:val="24"/>
        </w:rPr>
      </w:pPr>
      <w:r>
        <w:rPr>
          <w:noProof/>
          <w:sz w:val="24"/>
          <w:szCs w:val="24"/>
          <w:lang w:val="en-ZA" w:eastAsia="en-ZA"/>
        </w:rPr>
        <w:drawing>
          <wp:inline distT="0" distB="0" distL="0" distR="0">
            <wp:extent cx="2209800" cy="1447202"/>
            <wp:effectExtent l="0" t="0" r="0" b="635"/>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srcRect/>
                    <a:stretch/>
                  </pic:blipFill>
                  <pic:spPr>
                    <a:xfrm>
                      <a:off x="0" y="0"/>
                      <a:ext cx="2209800" cy="1447202"/>
                    </a:xfrm>
                    <a:prstGeom prst="rect">
                      <a:avLst/>
                    </a:prstGeom>
                    <a:ln>
                      <a:noFill/>
                    </a:ln>
                  </pic:spPr>
                </pic:pic>
              </a:graphicData>
            </a:graphic>
          </wp:inline>
        </w:drawing>
      </w:r>
    </w:p>
    <w:p w:rsidR="009D2ACB" w:rsidRDefault="00B22468">
      <w:pPr>
        <w:spacing w:after="120" w:line="240" w:lineRule="auto"/>
        <w:jc w:val="center"/>
        <w:rPr>
          <w:rFonts w:ascii="Arial" w:hAnsi="Arial" w:cs="Arial"/>
          <w:sz w:val="20"/>
          <w:szCs w:val="24"/>
        </w:rPr>
      </w:pPr>
      <w:r>
        <w:rPr>
          <w:rFonts w:ascii="Arial" w:hAnsi="Arial" w:cs="Arial"/>
          <w:sz w:val="20"/>
          <w:szCs w:val="24"/>
        </w:rPr>
        <w:t>Private Bag X893, Pretoria, 0001, Tel (012) 312 5555, Fax (012) 323 5618</w:t>
      </w:r>
    </w:p>
    <w:p w:rsidR="009D2ACB" w:rsidRDefault="00B22468">
      <w:pPr>
        <w:spacing w:after="120" w:line="240" w:lineRule="auto"/>
        <w:jc w:val="center"/>
        <w:rPr>
          <w:rFonts w:ascii="Arial" w:hAnsi="Arial" w:cs="Arial"/>
          <w:sz w:val="20"/>
          <w:szCs w:val="24"/>
        </w:rPr>
      </w:pPr>
      <w:r>
        <w:rPr>
          <w:rFonts w:ascii="Arial" w:hAnsi="Arial" w:cs="Arial"/>
          <w:sz w:val="20"/>
          <w:szCs w:val="24"/>
        </w:rPr>
        <w:t>Private Bag X9192, Cape Town, 8000, Tel (021) 469 5150, Fax: (021) 465 7956</w:t>
      </w:r>
    </w:p>
    <w:p w:rsidR="009D2ACB" w:rsidRDefault="00B22468">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Pr>
          <w:rFonts w:cs="Arial"/>
          <w:b/>
          <w:bCs/>
          <w:sz w:val="24"/>
          <w:szCs w:val="24"/>
          <w:lang w:val="en-ZA"/>
        </w:rPr>
        <w:tab/>
      </w:r>
      <w:r>
        <w:rPr>
          <w:rFonts w:ascii="Arial" w:hAnsi="Arial" w:cs="Arial"/>
          <w:b/>
          <w:bCs/>
          <w:sz w:val="24"/>
          <w:szCs w:val="24"/>
          <w:lang w:val="en-ZA"/>
        </w:rPr>
        <w:t>Memorandum from the Parliamentary Office</w:t>
      </w:r>
    </w:p>
    <w:p w:rsidR="009D2ACB" w:rsidRDefault="00B22468">
      <w:pPr>
        <w:jc w:val="center"/>
        <w:rPr>
          <w:rFonts w:ascii="Arial" w:hAnsi="Arial" w:cs="Arial"/>
          <w:b/>
          <w:bCs/>
          <w:sz w:val="24"/>
          <w:szCs w:val="24"/>
        </w:rPr>
      </w:pPr>
      <w:r>
        <w:rPr>
          <w:rFonts w:ascii="Arial" w:hAnsi="Arial" w:cs="Arial"/>
          <w:b/>
          <w:bCs/>
          <w:sz w:val="24"/>
          <w:szCs w:val="24"/>
          <w:lang w:val="en-ZA"/>
        </w:rPr>
        <w:t>NATIONAL ASSEMBLY</w:t>
      </w:r>
      <w:r>
        <w:rPr>
          <w:rFonts w:ascii="Arial" w:hAnsi="Arial" w:cs="Arial"/>
          <w:b/>
          <w:bCs/>
          <w:sz w:val="24"/>
          <w:szCs w:val="24"/>
        </w:rPr>
        <w:t xml:space="preserve"> </w:t>
      </w:r>
    </w:p>
    <w:p w:rsidR="009D2ACB" w:rsidRDefault="00B22468">
      <w:pPr>
        <w:jc w:val="center"/>
        <w:rPr>
          <w:rFonts w:ascii="Arial" w:hAnsi="Arial" w:cs="Arial"/>
          <w:b/>
          <w:bCs/>
          <w:sz w:val="24"/>
          <w:szCs w:val="24"/>
        </w:rPr>
      </w:pPr>
      <w:r>
        <w:rPr>
          <w:rFonts w:ascii="Arial" w:hAnsi="Arial" w:cs="Arial"/>
          <w:b/>
          <w:bCs/>
          <w:sz w:val="24"/>
          <w:szCs w:val="24"/>
        </w:rPr>
        <w:t>FOR WRITTEN REPLY</w:t>
      </w:r>
    </w:p>
    <w:p w:rsidR="009D2ACB" w:rsidRDefault="00B22468">
      <w:pPr>
        <w:jc w:val="center"/>
        <w:rPr>
          <w:rFonts w:ascii="Arial" w:hAnsi="Arial" w:cs="Arial"/>
          <w:b/>
          <w:bCs/>
          <w:sz w:val="24"/>
          <w:szCs w:val="24"/>
        </w:rPr>
      </w:pPr>
      <w:r>
        <w:rPr>
          <w:rFonts w:ascii="Arial" w:hAnsi="Arial" w:cs="Arial"/>
          <w:b/>
          <w:bCs/>
          <w:sz w:val="24"/>
          <w:szCs w:val="24"/>
        </w:rPr>
        <w:t>QUESTION 274</w:t>
      </w:r>
    </w:p>
    <w:p w:rsidR="009D2ACB" w:rsidRDefault="00B22468">
      <w:pPr>
        <w:jc w:val="center"/>
        <w:rPr>
          <w:rFonts w:ascii="Arial" w:hAnsi="Arial" w:cs="Arial"/>
          <w:b/>
          <w:bCs/>
          <w:sz w:val="24"/>
          <w:szCs w:val="24"/>
          <w:u w:val="single"/>
        </w:rPr>
      </w:pPr>
      <w:r>
        <w:rPr>
          <w:rFonts w:ascii="Arial" w:hAnsi="Arial" w:cs="Arial"/>
          <w:b/>
          <w:bCs/>
          <w:sz w:val="24"/>
          <w:szCs w:val="24"/>
          <w:u w:val="single"/>
        </w:rPr>
        <w:t>DATE OF PUBLICATION OF INTERNAL QUESTION PAPER: 16/02/2018</w:t>
      </w:r>
    </w:p>
    <w:p w:rsidR="009D2ACB" w:rsidRDefault="00B22468">
      <w:pPr>
        <w:spacing w:before="100" w:beforeAutospacing="1" w:after="100" w:afterAutospacing="1"/>
        <w:jc w:val="center"/>
        <w:outlineLvl w:val="0"/>
        <w:rPr>
          <w:rFonts w:ascii="Arial" w:hAnsi="Arial" w:cs="Arial"/>
          <w:b/>
          <w:bCs/>
          <w:sz w:val="24"/>
          <w:szCs w:val="24"/>
          <w:u w:val="single"/>
        </w:rPr>
      </w:pPr>
      <w:r>
        <w:rPr>
          <w:rFonts w:ascii="Arial" w:hAnsi="Arial" w:cs="Arial"/>
          <w:b/>
          <w:bCs/>
          <w:sz w:val="24"/>
          <w:szCs w:val="24"/>
          <w:u w:val="single"/>
        </w:rPr>
        <w:t>(INTERNAL QUESTION PAPER NO 2 OF 2018)</w:t>
      </w:r>
    </w:p>
    <w:p w:rsidR="009D2ACB" w:rsidRDefault="00B22468">
      <w:pPr>
        <w:spacing w:before="100" w:beforeAutospacing="1" w:after="100" w:afterAutospacing="1" w:line="360" w:lineRule="auto"/>
        <w:jc w:val="both"/>
        <w:rPr>
          <w:rFonts w:ascii="Arial" w:hAnsi="Arial" w:cs="Arial"/>
          <w:b/>
          <w:noProof/>
          <w:sz w:val="24"/>
          <w:szCs w:val="24"/>
          <w:lang w:val="af-ZA"/>
        </w:rPr>
      </w:pPr>
      <w:r>
        <w:rPr>
          <w:rFonts w:ascii="Arial" w:hAnsi="Arial" w:cs="Arial"/>
          <w:b/>
          <w:noProof/>
          <w:sz w:val="24"/>
          <w:szCs w:val="24"/>
          <w:lang w:val="af-ZA"/>
        </w:rPr>
        <w:t>Ms H Bucwa (DA) to ask the Minister of Higher Education and Training:</w:t>
      </w:r>
    </w:p>
    <w:p w:rsidR="009D2ACB" w:rsidRDefault="00B22468">
      <w:pPr>
        <w:tabs>
          <w:tab w:val="left" w:pos="426"/>
        </w:tabs>
        <w:spacing w:after="120" w:line="360" w:lineRule="auto"/>
        <w:ind w:left="851" w:hanging="851"/>
        <w:jc w:val="both"/>
        <w:rPr>
          <w:rFonts w:ascii="Arial" w:hAnsi="Arial" w:cs="Arial"/>
          <w:sz w:val="24"/>
          <w:szCs w:val="24"/>
        </w:rPr>
      </w:pPr>
      <w:r>
        <w:rPr>
          <w:rFonts w:ascii="Arial" w:hAnsi="Arial" w:cs="Arial"/>
          <w:sz w:val="24"/>
          <w:szCs w:val="24"/>
        </w:rPr>
        <w:t>(1)</w:t>
      </w:r>
      <w:r>
        <w:rPr>
          <w:rFonts w:ascii="Arial" w:hAnsi="Arial" w:cs="Arial"/>
          <w:sz w:val="24"/>
          <w:szCs w:val="24"/>
        </w:rPr>
        <w:tab/>
        <w:t>(a)</w:t>
      </w:r>
      <w:r>
        <w:rPr>
          <w:rFonts w:ascii="Arial" w:hAnsi="Arial" w:cs="Arial"/>
          <w:sz w:val="24"/>
          <w:szCs w:val="24"/>
        </w:rPr>
        <w:tab/>
        <w:t>What amount of funding support does the National Student Financial Aid Scheme currently provide to a full-time student requiring accommodation at technical and vocational education and training (TVET) colleges, (b) what are the details of the process followed to determine this amount of funding support, (c) what is the detailed breakdown of the expense of what this amount of financial support is supposed to cover, (d) how many days of accommodation will a student have to budget for while undertaking full-time studies at a TVET college in each academic year and (e) how does the amount of financial support given to a student studying at a TVET college compare to that given to a student studying at a university;</w:t>
      </w:r>
    </w:p>
    <w:p w:rsidR="009D2ACB" w:rsidRDefault="00B22468">
      <w:pPr>
        <w:spacing w:after="120" w:line="360" w:lineRule="auto"/>
        <w:ind w:left="851" w:hanging="851"/>
        <w:jc w:val="both"/>
        <w:rPr>
          <w:rFonts w:ascii="Arial" w:hAnsi="Arial" w:cs="Arial"/>
          <w:b/>
          <w:sz w:val="24"/>
          <w:szCs w:val="24"/>
        </w:rPr>
      </w:pPr>
      <w:r>
        <w:rPr>
          <w:rFonts w:ascii="Arial" w:hAnsi="Arial" w:cs="Arial"/>
          <w:sz w:val="24"/>
          <w:szCs w:val="24"/>
        </w:rPr>
        <w:t>(2)</w:t>
      </w:r>
      <w:r>
        <w:rPr>
          <w:rFonts w:ascii="Arial" w:hAnsi="Arial" w:cs="Arial"/>
          <w:sz w:val="24"/>
          <w:szCs w:val="24"/>
        </w:rPr>
        <w:tab/>
        <w:t>Whether she has been informed of any instances where a TVET college (a) is not providing and/or (b) would rather not provide student accommodation due to substandard services; if not, what is the position in this regard; if so, what are the relevant details?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NW295E</w:t>
      </w:r>
      <w:r>
        <w:rPr>
          <w:rFonts w:ascii="Arial" w:hAnsi="Arial" w:cs="Arial"/>
          <w:b/>
          <w:sz w:val="24"/>
          <w:szCs w:val="24"/>
        </w:rPr>
        <w:br w:type="page"/>
      </w:r>
    </w:p>
    <w:p w:rsidR="009D2ACB" w:rsidRDefault="00B22468">
      <w:pPr>
        <w:spacing w:before="100" w:beforeAutospacing="1" w:after="100" w:afterAutospacing="1" w:line="360" w:lineRule="auto"/>
        <w:jc w:val="both"/>
        <w:rPr>
          <w:rFonts w:ascii="Arial" w:hAnsi="Arial" w:cs="Arial"/>
          <w:b/>
          <w:sz w:val="24"/>
          <w:szCs w:val="24"/>
        </w:rPr>
      </w:pPr>
      <w:r>
        <w:rPr>
          <w:rFonts w:ascii="Arial" w:hAnsi="Arial" w:cs="Arial"/>
          <w:b/>
          <w:sz w:val="24"/>
          <w:szCs w:val="24"/>
        </w:rPr>
        <w:lastRenderedPageBreak/>
        <w:t>REPLY:</w:t>
      </w:r>
    </w:p>
    <w:p w:rsidR="009D2ACB" w:rsidRDefault="00B22468" w:rsidP="00D824E2">
      <w:pPr>
        <w:tabs>
          <w:tab w:val="left" w:pos="426"/>
        </w:tabs>
        <w:spacing w:before="100" w:beforeAutospacing="1" w:after="100" w:afterAutospacing="1" w:line="360" w:lineRule="auto"/>
        <w:ind w:left="851" w:hanging="851"/>
        <w:jc w:val="both"/>
        <w:rPr>
          <w:rFonts w:ascii="Arial" w:hAnsi="Arial" w:cs="Arial"/>
          <w:sz w:val="24"/>
          <w:szCs w:val="24"/>
        </w:rPr>
      </w:pPr>
      <w:r>
        <w:rPr>
          <w:rFonts w:ascii="Arial" w:hAnsi="Arial" w:cs="Arial"/>
          <w:sz w:val="24"/>
          <w:szCs w:val="24"/>
        </w:rPr>
        <w:t>(1)</w:t>
      </w:r>
      <w:r>
        <w:rPr>
          <w:rFonts w:ascii="Arial" w:hAnsi="Arial" w:cs="Arial"/>
          <w:sz w:val="24"/>
          <w:szCs w:val="24"/>
        </w:rPr>
        <w:tab/>
        <w:t>(a)</w:t>
      </w:r>
      <w:r>
        <w:rPr>
          <w:rFonts w:ascii="Arial" w:hAnsi="Arial" w:cs="Arial"/>
          <w:sz w:val="24"/>
          <w:szCs w:val="24"/>
        </w:rPr>
        <w:tab/>
        <w:t xml:space="preserve">The </w:t>
      </w:r>
      <w:r>
        <w:rPr>
          <w:rFonts w:ascii="Arial" w:hAnsi="Arial" w:cs="Arial"/>
          <w:sz w:val="24"/>
          <w:szCs w:val="24"/>
          <w:lang w:val="en-US"/>
        </w:rPr>
        <w:t xml:space="preserve">maximum amount that may be awarded for accommodation to </w:t>
      </w:r>
      <w:r>
        <w:rPr>
          <w:rFonts w:ascii="Arial" w:hAnsi="Arial" w:cs="Arial"/>
          <w:sz w:val="24"/>
          <w:szCs w:val="24"/>
        </w:rPr>
        <w:t xml:space="preserve">a full-time student </w:t>
      </w:r>
      <w:r w:rsidR="005E7F98">
        <w:rPr>
          <w:rFonts w:ascii="Arial" w:hAnsi="Arial" w:cs="Arial"/>
          <w:sz w:val="24"/>
          <w:szCs w:val="24"/>
          <w:lang w:val="en-US"/>
        </w:rPr>
        <w:t>for the 2018 academic year</w:t>
      </w:r>
      <w:r w:rsidR="005E7F98">
        <w:rPr>
          <w:rFonts w:ascii="Arial" w:hAnsi="Arial" w:cs="Arial"/>
          <w:sz w:val="24"/>
          <w:szCs w:val="24"/>
        </w:rPr>
        <w:t xml:space="preserve"> </w:t>
      </w:r>
      <w:r>
        <w:rPr>
          <w:rFonts w:ascii="Arial" w:hAnsi="Arial" w:cs="Arial"/>
          <w:sz w:val="24"/>
          <w:szCs w:val="24"/>
        </w:rPr>
        <w:t>is R22 019</w:t>
      </w:r>
      <w:r>
        <w:rPr>
          <w:rFonts w:ascii="Arial" w:hAnsi="Arial" w:cs="Arial"/>
          <w:sz w:val="24"/>
          <w:szCs w:val="24"/>
          <w:lang w:val="en-US"/>
        </w:rPr>
        <w:t xml:space="preserve"> per annum.  </w:t>
      </w:r>
    </w:p>
    <w:p w:rsidR="009D2ACB" w:rsidRDefault="00B22468" w:rsidP="00D824E2">
      <w:pPr>
        <w:spacing w:before="100" w:beforeAutospacing="1" w:after="100" w:afterAutospacing="1" w:line="360" w:lineRule="auto"/>
        <w:ind w:left="851" w:hanging="425"/>
        <w:jc w:val="both"/>
        <w:rPr>
          <w:rFonts w:ascii="Arial" w:hAnsi="Arial" w:cs="Arial"/>
          <w:sz w:val="24"/>
          <w:szCs w:val="24"/>
        </w:rPr>
      </w:pPr>
      <w:r>
        <w:rPr>
          <w:rFonts w:ascii="Arial" w:hAnsi="Arial" w:cs="Arial"/>
          <w:sz w:val="24"/>
          <w:szCs w:val="24"/>
        </w:rPr>
        <w:t>(b)</w:t>
      </w:r>
      <w:r>
        <w:rPr>
          <w:rFonts w:ascii="Arial" w:hAnsi="Arial" w:cs="Arial"/>
          <w:sz w:val="24"/>
          <w:szCs w:val="24"/>
        </w:rPr>
        <w:tab/>
      </w:r>
      <w:r w:rsidR="005E7F98">
        <w:rPr>
          <w:rFonts w:ascii="Arial" w:hAnsi="Arial" w:cs="Arial"/>
          <w:sz w:val="24"/>
          <w:szCs w:val="24"/>
        </w:rPr>
        <w:t xml:space="preserve">The </w:t>
      </w:r>
      <w:r w:rsidR="00D824E2" w:rsidRPr="00D824E2">
        <w:rPr>
          <w:rFonts w:ascii="Arial" w:hAnsi="Arial" w:cs="Arial"/>
          <w:sz w:val="24"/>
          <w:szCs w:val="24"/>
        </w:rPr>
        <w:t xml:space="preserve">National Student Financial Aid Scheme </w:t>
      </w:r>
      <w:r w:rsidR="00D824E2">
        <w:rPr>
          <w:rFonts w:ascii="Arial" w:hAnsi="Arial" w:cs="Arial"/>
          <w:sz w:val="24"/>
          <w:szCs w:val="24"/>
        </w:rPr>
        <w:t>(</w:t>
      </w:r>
      <w:r>
        <w:rPr>
          <w:rFonts w:ascii="Arial" w:hAnsi="Arial" w:cs="Arial"/>
          <w:sz w:val="24"/>
          <w:szCs w:val="24"/>
        </w:rPr>
        <w:t>NSFAS</w:t>
      </w:r>
      <w:r w:rsidR="00D824E2">
        <w:rPr>
          <w:rFonts w:ascii="Arial" w:hAnsi="Arial" w:cs="Arial"/>
          <w:sz w:val="24"/>
          <w:szCs w:val="24"/>
        </w:rPr>
        <w:t>)</w:t>
      </w:r>
      <w:r>
        <w:rPr>
          <w:rFonts w:ascii="Arial" w:hAnsi="Arial" w:cs="Arial"/>
          <w:sz w:val="24"/>
          <w:szCs w:val="24"/>
        </w:rPr>
        <w:t xml:space="preserve"> is responsible for making a determination on whether student applications are successful or unsuccessful in so far as the</w:t>
      </w:r>
      <w:r w:rsidR="002855FE">
        <w:rPr>
          <w:rFonts w:ascii="Arial" w:hAnsi="Arial" w:cs="Arial"/>
          <w:sz w:val="24"/>
          <w:szCs w:val="24"/>
        </w:rPr>
        <w:t xml:space="preserve">ir tuition fees are concerned. </w:t>
      </w:r>
      <w:r w:rsidR="00D824E2" w:rsidRPr="00D824E2">
        <w:rPr>
          <w:rFonts w:ascii="Arial" w:hAnsi="Arial" w:cs="Arial"/>
          <w:sz w:val="24"/>
          <w:szCs w:val="24"/>
        </w:rPr>
        <w:t xml:space="preserve">Technical </w:t>
      </w:r>
      <w:r w:rsidR="005E7F98">
        <w:rPr>
          <w:rFonts w:ascii="Arial" w:hAnsi="Arial" w:cs="Arial"/>
          <w:sz w:val="24"/>
          <w:szCs w:val="24"/>
        </w:rPr>
        <w:t xml:space="preserve">and </w:t>
      </w:r>
      <w:r w:rsidR="00D824E2" w:rsidRPr="00D824E2">
        <w:rPr>
          <w:rFonts w:ascii="Arial" w:hAnsi="Arial" w:cs="Arial"/>
          <w:sz w:val="24"/>
          <w:szCs w:val="24"/>
        </w:rPr>
        <w:t xml:space="preserve">Vocational Education and Training </w:t>
      </w:r>
      <w:r w:rsidR="00D824E2">
        <w:rPr>
          <w:rFonts w:ascii="Arial" w:hAnsi="Arial" w:cs="Arial"/>
          <w:sz w:val="24"/>
          <w:szCs w:val="24"/>
        </w:rPr>
        <w:t xml:space="preserve">(TVET) </w:t>
      </w:r>
      <w:r w:rsidR="005E7F98">
        <w:rPr>
          <w:rFonts w:ascii="Arial" w:hAnsi="Arial" w:cs="Arial"/>
          <w:sz w:val="24"/>
          <w:szCs w:val="24"/>
        </w:rPr>
        <w:t>c</w:t>
      </w:r>
      <w:r>
        <w:rPr>
          <w:rFonts w:ascii="Arial" w:hAnsi="Arial" w:cs="Arial"/>
          <w:sz w:val="24"/>
          <w:szCs w:val="24"/>
        </w:rPr>
        <w:t>olleges are responsible for making a determination on the applications for travel and accommodation allowances</w:t>
      </w:r>
      <w:r w:rsidR="002855FE">
        <w:rPr>
          <w:rFonts w:ascii="Arial" w:hAnsi="Arial" w:cs="Arial"/>
          <w:sz w:val="24"/>
          <w:szCs w:val="24"/>
        </w:rPr>
        <w:t>,</w:t>
      </w:r>
      <w:r>
        <w:rPr>
          <w:rFonts w:ascii="Arial" w:hAnsi="Arial" w:cs="Arial"/>
          <w:sz w:val="24"/>
          <w:szCs w:val="24"/>
        </w:rPr>
        <w:t xml:space="preserve"> subject to the availability of funds</w:t>
      </w:r>
      <w:r w:rsidR="002855FE">
        <w:rPr>
          <w:rFonts w:ascii="Arial" w:hAnsi="Arial" w:cs="Arial"/>
          <w:sz w:val="24"/>
          <w:szCs w:val="24"/>
        </w:rPr>
        <w:t>,</w:t>
      </w:r>
      <w:r w:rsidR="005E7F98">
        <w:rPr>
          <w:rFonts w:ascii="Arial" w:hAnsi="Arial" w:cs="Arial"/>
          <w:sz w:val="24"/>
          <w:szCs w:val="24"/>
        </w:rPr>
        <w:t xml:space="preserve"> after </w:t>
      </w:r>
      <w:r>
        <w:rPr>
          <w:rFonts w:ascii="Arial" w:hAnsi="Arial" w:cs="Arial"/>
          <w:sz w:val="24"/>
          <w:szCs w:val="24"/>
        </w:rPr>
        <w:t xml:space="preserve">NSFAS </w:t>
      </w:r>
      <w:r w:rsidR="002855FE">
        <w:rPr>
          <w:rFonts w:ascii="Arial" w:hAnsi="Arial" w:cs="Arial"/>
          <w:sz w:val="24"/>
          <w:szCs w:val="24"/>
        </w:rPr>
        <w:t xml:space="preserve">has determined </w:t>
      </w:r>
      <w:r>
        <w:rPr>
          <w:rFonts w:ascii="Arial" w:hAnsi="Arial" w:cs="Arial"/>
          <w:sz w:val="24"/>
          <w:szCs w:val="24"/>
        </w:rPr>
        <w:t xml:space="preserve">whether or not </w:t>
      </w:r>
      <w:r w:rsidR="002855FE">
        <w:rPr>
          <w:rFonts w:ascii="Arial" w:hAnsi="Arial" w:cs="Arial"/>
          <w:sz w:val="24"/>
          <w:szCs w:val="24"/>
        </w:rPr>
        <w:t>a student qualifies</w:t>
      </w:r>
      <w:r>
        <w:rPr>
          <w:rFonts w:ascii="Arial" w:hAnsi="Arial" w:cs="Arial"/>
          <w:sz w:val="24"/>
          <w:szCs w:val="24"/>
        </w:rPr>
        <w:t xml:space="preserve"> for financial aid.</w:t>
      </w:r>
    </w:p>
    <w:p w:rsidR="009D2ACB" w:rsidRDefault="00B22468" w:rsidP="00D824E2">
      <w:pPr>
        <w:spacing w:before="100" w:beforeAutospacing="1" w:after="100" w:afterAutospacing="1" w:line="360" w:lineRule="auto"/>
        <w:ind w:left="851"/>
        <w:jc w:val="both"/>
        <w:rPr>
          <w:rFonts w:ascii="Arial" w:hAnsi="Arial" w:cs="Arial"/>
          <w:sz w:val="24"/>
          <w:szCs w:val="24"/>
        </w:rPr>
      </w:pPr>
      <w:r>
        <w:rPr>
          <w:rFonts w:ascii="Arial" w:hAnsi="Arial" w:cs="Arial"/>
          <w:sz w:val="24"/>
          <w:szCs w:val="24"/>
          <w:lang w:val="en-US"/>
        </w:rPr>
        <w:t>In making a final determination on the award for the accommodation allowance, the College Financial Aid Committee is required to consider, inter alia, the a</w:t>
      </w:r>
      <w:r w:rsidR="005E7F98">
        <w:rPr>
          <w:rFonts w:ascii="Arial" w:hAnsi="Arial" w:cs="Arial"/>
          <w:sz w:val="24"/>
          <w:szCs w:val="24"/>
          <w:lang w:val="en-US"/>
        </w:rPr>
        <w:t xml:space="preserve">ctual accommodation costs and </w:t>
      </w:r>
      <w:r>
        <w:rPr>
          <w:rFonts w:ascii="Arial" w:hAnsi="Arial" w:cs="Arial"/>
          <w:sz w:val="24"/>
          <w:szCs w:val="24"/>
          <w:lang w:val="en-US"/>
        </w:rPr>
        <w:t>rental agreement in the case of private accommodation. In the light of this, the amount awarded for accommodation may vary from one student to another.</w:t>
      </w:r>
    </w:p>
    <w:p w:rsidR="009D2ACB" w:rsidRDefault="00B22468" w:rsidP="00D824E2">
      <w:pPr>
        <w:spacing w:before="100" w:beforeAutospacing="1" w:after="100" w:afterAutospacing="1" w:line="360" w:lineRule="auto"/>
        <w:ind w:left="851" w:hanging="425"/>
        <w:jc w:val="both"/>
        <w:rPr>
          <w:rFonts w:ascii="Arial" w:hAnsi="Arial" w:cs="Arial"/>
          <w:sz w:val="24"/>
          <w:szCs w:val="24"/>
        </w:rPr>
      </w:pPr>
      <w:r>
        <w:rPr>
          <w:rFonts w:ascii="Arial" w:hAnsi="Arial" w:cs="Arial"/>
          <w:sz w:val="24"/>
          <w:szCs w:val="24"/>
        </w:rPr>
        <w:t>(c)</w:t>
      </w:r>
      <w:r>
        <w:rPr>
          <w:rFonts w:ascii="Arial" w:hAnsi="Arial" w:cs="Arial"/>
          <w:sz w:val="24"/>
          <w:szCs w:val="24"/>
        </w:rPr>
        <w:tab/>
        <w:t>The award for accommodation is inclusive of meals. In making a determination on the award for accommodation</w:t>
      </w:r>
      <w:r>
        <w:rPr>
          <w:rFonts w:ascii="Arial" w:hAnsi="Arial" w:cs="Arial"/>
          <w:sz w:val="24"/>
          <w:szCs w:val="24"/>
          <w:lang w:val="en-US"/>
        </w:rPr>
        <w:t>,</w:t>
      </w:r>
      <w:r>
        <w:rPr>
          <w:rFonts w:ascii="Arial" w:hAnsi="Arial" w:cs="Arial"/>
          <w:sz w:val="24"/>
          <w:szCs w:val="24"/>
        </w:rPr>
        <w:t xml:space="preserve"> t</w:t>
      </w:r>
      <w:r>
        <w:rPr>
          <w:rFonts w:ascii="Arial" w:hAnsi="Arial" w:cs="Arial"/>
          <w:sz w:val="24"/>
          <w:szCs w:val="24"/>
          <w:lang w:val="en-US"/>
        </w:rPr>
        <w:t>he College Financial Aid Committee must consider including meals in instances where students do not receive meals from the landlord. Furt</w:t>
      </w:r>
      <w:r w:rsidR="002855FE">
        <w:rPr>
          <w:rFonts w:ascii="Arial" w:hAnsi="Arial" w:cs="Arial"/>
          <w:sz w:val="24"/>
          <w:szCs w:val="24"/>
          <w:lang w:val="en-US"/>
        </w:rPr>
        <w:t>hermore, c</w:t>
      </w:r>
      <w:r w:rsidR="00D824E2">
        <w:rPr>
          <w:rFonts w:ascii="Arial" w:hAnsi="Arial" w:cs="Arial"/>
          <w:sz w:val="24"/>
          <w:szCs w:val="24"/>
          <w:lang w:val="en-US"/>
        </w:rPr>
        <w:t>olleges and landlords</w:t>
      </w:r>
      <w:r>
        <w:rPr>
          <w:rFonts w:ascii="Arial" w:hAnsi="Arial" w:cs="Arial"/>
          <w:sz w:val="24"/>
          <w:szCs w:val="24"/>
          <w:lang w:val="en-US"/>
        </w:rPr>
        <w:t xml:space="preserve"> in the case of private </w:t>
      </w:r>
      <w:r w:rsidR="00C75C91">
        <w:rPr>
          <w:rFonts w:ascii="Arial" w:hAnsi="Arial" w:cs="Arial"/>
          <w:sz w:val="24"/>
          <w:szCs w:val="24"/>
          <w:lang w:val="en-US"/>
        </w:rPr>
        <w:t>accommodation</w:t>
      </w:r>
      <w:r>
        <w:rPr>
          <w:rFonts w:ascii="Arial" w:hAnsi="Arial" w:cs="Arial"/>
          <w:sz w:val="24"/>
          <w:szCs w:val="24"/>
          <w:lang w:val="en-US"/>
        </w:rPr>
        <w:t xml:space="preserve"> must provide at least three meals a day.</w:t>
      </w:r>
    </w:p>
    <w:p w:rsidR="009D2ACB" w:rsidRDefault="00B22468" w:rsidP="00D824E2">
      <w:pPr>
        <w:spacing w:before="100" w:beforeAutospacing="1" w:after="100" w:afterAutospacing="1" w:line="360" w:lineRule="auto"/>
        <w:ind w:left="851" w:hanging="425"/>
        <w:jc w:val="both"/>
        <w:rPr>
          <w:rFonts w:ascii="Arial" w:hAnsi="Arial" w:cs="Arial"/>
          <w:sz w:val="24"/>
          <w:szCs w:val="24"/>
        </w:rPr>
      </w:pPr>
      <w:r>
        <w:rPr>
          <w:rFonts w:ascii="Arial" w:hAnsi="Arial" w:cs="Arial"/>
          <w:sz w:val="24"/>
          <w:szCs w:val="24"/>
        </w:rPr>
        <w:t>(d</w:t>
      </w:r>
      <w:r w:rsidR="005E7F98">
        <w:rPr>
          <w:rFonts w:ascii="Arial" w:hAnsi="Arial" w:cs="Arial"/>
          <w:sz w:val="24"/>
          <w:szCs w:val="24"/>
        </w:rPr>
        <w:t>)</w:t>
      </w:r>
      <w:r w:rsidR="005E7F98">
        <w:rPr>
          <w:rFonts w:ascii="Arial" w:hAnsi="Arial" w:cs="Arial"/>
          <w:sz w:val="24"/>
          <w:szCs w:val="24"/>
        </w:rPr>
        <w:tab/>
        <w:t>Taking into account the TVET c</w:t>
      </w:r>
      <w:r>
        <w:rPr>
          <w:rFonts w:ascii="Arial" w:hAnsi="Arial" w:cs="Arial"/>
          <w:sz w:val="24"/>
          <w:szCs w:val="24"/>
        </w:rPr>
        <w:t xml:space="preserve">ollege calendar for 2018, a student will </w:t>
      </w:r>
      <w:r w:rsidR="002855FE">
        <w:rPr>
          <w:rFonts w:ascii="Arial" w:hAnsi="Arial" w:cs="Arial"/>
          <w:sz w:val="24"/>
          <w:szCs w:val="24"/>
        </w:rPr>
        <w:t>require</w:t>
      </w:r>
      <w:r>
        <w:rPr>
          <w:rFonts w:ascii="Arial" w:hAnsi="Arial" w:cs="Arial"/>
          <w:sz w:val="24"/>
          <w:szCs w:val="24"/>
        </w:rPr>
        <w:t xml:space="preserve"> 279 days </w:t>
      </w:r>
      <w:r w:rsidR="002855FE">
        <w:rPr>
          <w:rFonts w:ascii="Arial" w:hAnsi="Arial" w:cs="Arial"/>
          <w:sz w:val="24"/>
          <w:szCs w:val="24"/>
        </w:rPr>
        <w:t xml:space="preserve">of accommodation </w:t>
      </w:r>
      <w:r>
        <w:rPr>
          <w:rFonts w:ascii="Arial" w:hAnsi="Arial" w:cs="Arial"/>
          <w:sz w:val="24"/>
          <w:szCs w:val="24"/>
        </w:rPr>
        <w:t>whil</w:t>
      </w:r>
      <w:r>
        <w:rPr>
          <w:rFonts w:ascii="Arial" w:hAnsi="Arial" w:cs="Arial"/>
          <w:sz w:val="24"/>
          <w:szCs w:val="24"/>
          <w:lang w:val="en-US"/>
        </w:rPr>
        <w:t>st</w:t>
      </w:r>
      <w:r>
        <w:rPr>
          <w:rFonts w:ascii="Arial" w:hAnsi="Arial" w:cs="Arial"/>
          <w:sz w:val="24"/>
          <w:szCs w:val="24"/>
        </w:rPr>
        <w:t xml:space="preserve"> undertaking full-time studies at a TVET college</w:t>
      </w:r>
      <w:r w:rsidR="002855FE">
        <w:rPr>
          <w:rFonts w:ascii="Arial" w:hAnsi="Arial" w:cs="Arial"/>
          <w:sz w:val="24"/>
          <w:szCs w:val="24"/>
        </w:rPr>
        <w:t>. The 279 days takes into account</w:t>
      </w:r>
      <w:r>
        <w:rPr>
          <w:rFonts w:ascii="Arial" w:hAnsi="Arial" w:cs="Arial"/>
          <w:sz w:val="24"/>
          <w:szCs w:val="24"/>
          <w:lang w:val="en-US"/>
        </w:rPr>
        <w:t>,</w:t>
      </w:r>
      <w:r>
        <w:rPr>
          <w:rFonts w:ascii="Arial" w:hAnsi="Arial" w:cs="Arial"/>
          <w:sz w:val="24"/>
          <w:szCs w:val="24"/>
        </w:rPr>
        <w:t xml:space="preserve"> amongst others, the dates on which classes commence, l</w:t>
      </w:r>
      <w:r w:rsidR="00D824E2">
        <w:rPr>
          <w:rFonts w:ascii="Arial" w:hAnsi="Arial" w:cs="Arial"/>
          <w:sz w:val="24"/>
          <w:szCs w:val="24"/>
        </w:rPr>
        <w:t>ecturing days, examination days</w:t>
      </w:r>
      <w:r>
        <w:rPr>
          <w:rFonts w:ascii="Arial" w:hAnsi="Arial" w:cs="Arial"/>
          <w:sz w:val="24"/>
          <w:szCs w:val="24"/>
        </w:rPr>
        <w:t xml:space="preserve"> </w:t>
      </w:r>
      <w:r>
        <w:rPr>
          <w:rFonts w:ascii="Arial" w:hAnsi="Arial" w:cs="Arial"/>
          <w:sz w:val="24"/>
          <w:szCs w:val="24"/>
          <w:lang w:val="en-US"/>
        </w:rPr>
        <w:t xml:space="preserve">and the </w:t>
      </w:r>
      <w:r w:rsidR="002855FE">
        <w:rPr>
          <w:rFonts w:ascii="Arial" w:hAnsi="Arial" w:cs="Arial"/>
          <w:sz w:val="24"/>
          <w:szCs w:val="24"/>
        </w:rPr>
        <w:t>dates on which c</w:t>
      </w:r>
      <w:r>
        <w:rPr>
          <w:rFonts w:ascii="Arial" w:hAnsi="Arial" w:cs="Arial"/>
          <w:sz w:val="24"/>
          <w:szCs w:val="24"/>
        </w:rPr>
        <w:t xml:space="preserve">olleges close. </w:t>
      </w:r>
    </w:p>
    <w:p w:rsidR="009D2ACB" w:rsidRDefault="00B22468" w:rsidP="00D824E2">
      <w:pPr>
        <w:spacing w:before="100" w:beforeAutospacing="1" w:after="100" w:afterAutospacing="1" w:line="360" w:lineRule="auto"/>
        <w:ind w:left="851" w:hanging="425"/>
        <w:jc w:val="both"/>
        <w:rPr>
          <w:rFonts w:ascii="Arial" w:hAnsi="Arial" w:cs="Arial"/>
          <w:sz w:val="24"/>
          <w:szCs w:val="24"/>
          <w:lang w:val="en-US"/>
        </w:rPr>
      </w:pPr>
      <w:r>
        <w:rPr>
          <w:rFonts w:ascii="Arial" w:hAnsi="Arial" w:cs="Arial"/>
          <w:sz w:val="24"/>
          <w:szCs w:val="24"/>
        </w:rPr>
        <w:t>(e)</w:t>
      </w:r>
      <w:r>
        <w:rPr>
          <w:rFonts w:ascii="Arial" w:hAnsi="Arial" w:cs="Arial"/>
          <w:sz w:val="24"/>
          <w:szCs w:val="24"/>
        </w:rPr>
        <w:tab/>
        <w:t xml:space="preserve">There is a significant difference between the amounts of financial support given to a student studying at a TVET </w:t>
      </w:r>
      <w:r w:rsidR="005E7F98">
        <w:rPr>
          <w:rFonts w:ascii="Arial" w:hAnsi="Arial" w:cs="Arial"/>
          <w:sz w:val="24"/>
          <w:szCs w:val="24"/>
        </w:rPr>
        <w:t>c</w:t>
      </w:r>
      <w:r>
        <w:rPr>
          <w:rFonts w:ascii="Arial" w:hAnsi="Arial" w:cs="Arial"/>
          <w:sz w:val="24"/>
          <w:szCs w:val="24"/>
        </w:rPr>
        <w:t xml:space="preserve">ollege to that </w:t>
      </w:r>
      <w:r w:rsidR="002855FE">
        <w:rPr>
          <w:rFonts w:ascii="Arial" w:hAnsi="Arial" w:cs="Arial"/>
          <w:sz w:val="24"/>
          <w:szCs w:val="24"/>
        </w:rPr>
        <w:t>of</w:t>
      </w:r>
      <w:r>
        <w:rPr>
          <w:rFonts w:ascii="Arial" w:hAnsi="Arial" w:cs="Arial"/>
          <w:sz w:val="24"/>
          <w:szCs w:val="24"/>
        </w:rPr>
        <w:t xml:space="preserve"> a student studying at a </w:t>
      </w:r>
      <w:r>
        <w:rPr>
          <w:rFonts w:ascii="Arial" w:hAnsi="Arial" w:cs="Arial"/>
          <w:sz w:val="24"/>
          <w:szCs w:val="24"/>
        </w:rPr>
        <w:lastRenderedPageBreak/>
        <w:t xml:space="preserve">university. Firstly, </w:t>
      </w:r>
      <w:r w:rsidR="002855FE">
        <w:rPr>
          <w:rFonts w:ascii="Arial" w:hAnsi="Arial" w:cs="Arial"/>
          <w:sz w:val="24"/>
          <w:szCs w:val="24"/>
          <w:lang w:val="en-US"/>
        </w:rPr>
        <w:t>each TVET c</w:t>
      </w:r>
      <w:r>
        <w:rPr>
          <w:rFonts w:ascii="Arial" w:hAnsi="Arial" w:cs="Arial"/>
          <w:sz w:val="24"/>
          <w:szCs w:val="24"/>
          <w:lang w:val="en-US"/>
        </w:rPr>
        <w:t xml:space="preserve">ollege student enrolled in a Ministerially-funded </w:t>
      </w:r>
      <w:r w:rsidR="002855FE">
        <w:rPr>
          <w:rFonts w:ascii="Arial" w:hAnsi="Arial" w:cs="Arial"/>
          <w:sz w:val="24"/>
          <w:szCs w:val="24"/>
          <w:lang w:val="en-US"/>
        </w:rPr>
        <w:t>programme is subsidised by the S</w:t>
      </w:r>
      <w:r>
        <w:rPr>
          <w:rFonts w:ascii="Arial" w:hAnsi="Arial" w:cs="Arial"/>
          <w:sz w:val="24"/>
          <w:szCs w:val="24"/>
          <w:lang w:val="en-US"/>
        </w:rPr>
        <w:t>tate at 80% of the total programme cost. Secondly, the difference of 20% of the total programme costs, which constitute</w:t>
      </w:r>
      <w:r w:rsidR="000A4809">
        <w:rPr>
          <w:rFonts w:ascii="Arial" w:hAnsi="Arial" w:cs="Arial"/>
          <w:sz w:val="24"/>
          <w:szCs w:val="24"/>
          <w:lang w:val="en-US"/>
        </w:rPr>
        <w:t>s</w:t>
      </w:r>
      <w:r>
        <w:rPr>
          <w:rFonts w:ascii="Arial" w:hAnsi="Arial" w:cs="Arial"/>
          <w:sz w:val="24"/>
          <w:szCs w:val="24"/>
          <w:lang w:val="en-US"/>
        </w:rPr>
        <w:t xml:space="preserve"> tuition fees, must be recovered from the student. However, in respect of qualifying students, NSFAS covers </w:t>
      </w:r>
      <w:r w:rsidR="002855FE">
        <w:rPr>
          <w:rFonts w:ascii="Arial" w:hAnsi="Arial" w:cs="Arial"/>
          <w:sz w:val="24"/>
          <w:szCs w:val="24"/>
          <w:lang w:val="en-US"/>
        </w:rPr>
        <w:t xml:space="preserve">the </w:t>
      </w:r>
      <w:r>
        <w:rPr>
          <w:rFonts w:ascii="Arial" w:hAnsi="Arial" w:cs="Arial"/>
          <w:sz w:val="24"/>
          <w:szCs w:val="24"/>
          <w:lang w:val="en-US"/>
        </w:rPr>
        <w:t>20%</w:t>
      </w:r>
      <w:r w:rsidR="002855FE">
        <w:rPr>
          <w:rFonts w:ascii="Arial" w:hAnsi="Arial" w:cs="Arial"/>
          <w:sz w:val="24"/>
          <w:szCs w:val="24"/>
          <w:lang w:val="en-US"/>
        </w:rPr>
        <w:t xml:space="preserve"> component</w:t>
      </w:r>
      <w:r>
        <w:rPr>
          <w:rFonts w:ascii="Arial" w:hAnsi="Arial" w:cs="Arial"/>
          <w:sz w:val="24"/>
          <w:szCs w:val="24"/>
          <w:lang w:val="en-US"/>
        </w:rPr>
        <w:t xml:space="preserve"> of the total programme costs.  </w:t>
      </w:r>
    </w:p>
    <w:p w:rsidR="009D2ACB" w:rsidRDefault="00B22468" w:rsidP="00D824E2">
      <w:pPr>
        <w:spacing w:before="100" w:beforeAutospacing="1" w:after="100" w:afterAutospacing="1" w:line="360" w:lineRule="auto"/>
        <w:ind w:left="851"/>
        <w:jc w:val="both"/>
        <w:rPr>
          <w:rFonts w:ascii="Arial" w:hAnsi="Arial" w:cs="Arial"/>
          <w:sz w:val="24"/>
          <w:szCs w:val="24"/>
        </w:rPr>
      </w:pPr>
      <w:r>
        <w:rPr>
          <w:rFonts w:ascii="Arial" w:hAnsi="Arial" w:cs="Arial"/>
          <w:sz w:val="24"/>
          <w:szCs w:val="24"/>
          <w:lang w:val="en-US"/>
        </w:rPr>
        <w:t xml:space="preserve">In addition to tuition fees, NSFAS covers transport or accommodation allowance (inclusive of meals) for qualifying students, subject to the availability of funds as per each individual institution's </w:t>
      </w:r>
      <w:r w:rsidR="002855FE">
        <w:rPr>
          <w:rFonts w:ascii="Arial" w:hAnsi="Arial" w:cs="Arial"/>
          <w:sz w:val="24"/>
          <w:szCs w:val="24"/>
          <w:lang w:val="en-US"/>
        </w:rPr>
        <w:t>allocation. Finally, each TVET c</w:t>
      </w:r>
      <w:r>
        <w:rPr>
          <w:rFonts w:ascii="Arial" w:hAnsi="Arial" w:cs="Arial"/>
          <w:sz w:val="24"/>
          <w:szCs w:val="24"/>
          <w:lang w:val="en-US"/>
        </w:rPr>
        <w:t xml:space="preserve">ollege student, regardless of being funded by NSFAS or not, </w:t>
      </w:r>
      <w:r w:rsidR="002855FE">
        <w:rPr>
          <w:rFonts w:ascii="Arial" w:hAnsi="Arial" w:cs="Arial"/>
          <w:sz w:val="24"/>
          <w:szCs w:val="24"/>
          <w:lang w:val="en-US"/>
        </w:rPr>
        <w:t xml:space="preserve">receives </w:t>
      </w:r>
      <w:r>
        <w:rPr>
          <w:rFonts w:ascii="Arial" w:hAnsi="Arial" w:cs="Arial"/>
          <w:sz w:val="24"/>
          <w:szCs w:val="24"/>
          <w:lang w:val="en-US"/>
        </w:rPr>
        <w:t>textbooks and other essentials, such as protective gear fo</w:t>
      </w:r>
      <w:r w:rsidR="005E7F98">
        <w:rPr>
          <w:rFonts w:ascii="Arial" w:hAnsi="Arial" w:cs="Arial"/>
          <w:sz w:val="24"/>
          <w:szCs w:val="24"/>
          <w:lang w:val="en-US"/>
        </w:rPr>
        <w:t>r practical work</w:t>
      </w:r>
      <w:r>
        <w:rPr>
          <w:rFonts w:ascii="Arial" w:hAnsi="Arial" w:cs="Arial"/>
          <w:sz w:val="24"/>
          <w:szCs w:val="24"/>
          <w:lang w:val="en-US"/>
        </w:rPr>
        <w:t xml:space="preserve">.  </w:t>
      </w:r>
    </w:p>
    <w:p w:rsidR="009D2ACB" w:rsidRDefault="00B22468" w:rsidP="00D824E2">
      <w:pPr>
        <w:tabs>
          <w:tab w:val="left" w:pos="426"/>
          <w:tab w:val="left" w:pos="1418"/>
        </w:tabs>
        <w:spacing w:before="100" w:beforeAutospacing="1" w:after="100" w:afterAutospacing="1" w:line="360" w:lineRule="auto"/>
        <w:ind w:left="851" w:hanging="851"/>
        <w:jc w:val="both"/>
        <w:rPr>
          <w:rFonts w:ascii="Arial" w:hAnsi="Arial" w:cs="Arial"/>
          <w:sz w:val="24"/>
          <w:szCs w:val="24"/>
        </w:rPr>
      </w:pPr>
      <w:r>
        <w:rPr>
          <w:rFonts w:ascii="Arial" w:hAnsi="Arial" w:cs="Arial"/>
          <w:sz w:val="24"/>
          <w:szCs w:val="24"/>
        </w:rPr>
        <w:t>(2)</w:t>
      </w:r>
      <w:r>
        <w:rPr>
          <w:rFonts w:ascii="Arial" w:hAnsi="Arial" w:cs="Arial"/>
          <w:sz w:val="24"/>
          <w:szCs w:val="24"/>
        </w:rPr>
        <w:tab/>
        <w:t>(a)</w:t>
      </w:r>
      <w:r>
        <w:rPr>
          <w:rFonts w:ascii="Arial" w:hAnsi="Arial" w:cs="Arial"/>
          <w:sz w:val="24"/>
          <w:szCs w:val="24"/>
        </w:rPr>
        <w:tab/>
        <w:t xml:space="preserve">There are </w:t>
      </w:r>
      <w:r w:rsidR="002855FE">
        <w:rPr>
          <w:rFonts w:ascii="Arial" w:hAnsi="Arial" w:cs="Arial"/>
          <w:sz w:val="24"/>
          <w:szCs w:val="24"/>
          <w:lang w:val="en-US"/>
        </w:rPr>
        <w:t xml:space="preserve">instances where </w:t>
      </w:r>
      <w:r w:rsidR="005E7F98">
        <w:rPr>
          <w:rFonts w:ascii="Arial" w:hAnsi="Arial" w:cs="Arial"/>
          <w:sz w:val="24"/>
          <w:szCs w:val="24"/>
          <w:lang w:val="en-US"/>
        </w:rPr>
        <w:t>TVET c</w:t>
      </w:r>
      <w:r>
        <w:rPr>
          <w:rFonts w:ascii="Arial" w:hAnsi="Arial" w:cs="Arial"/>
          <w:sz w:val="24"/>
          <w:szCs w:val="24"/>
          <w:lang w:val="en-US"/>
        </w:rPr>
        <w:t>ollege</w:t>
      </w:r>
      <w:r w:rsidR="002855FE">
        <w:rPr>
          <w:rFonts w:ascii="Arial" w:hAnsi="Arial" w:cs="Arial"/>
          <w:sz w:val="24"/>
          <w:szCs w:val="24"/>
          <w:lang w:val="en-US"/>
        </w:rPr>
        <w:t>s do</w:t>
      </w:r>
      <w:r>
        <w:rPr>
          <w:rFonts w:ascii="Arial" w:hAnsi="Arial" w:cs="Arial"/>
          <w:sz w:val="24"/>
          <w:szCs w:val="24"/>
          <w:lang w:val="en-US"/>
        </w:rPr>
        <w:t xml:space="preserve"> not have student residential facilities</w:t>
      </w:r>
      <w:r w:rsidR="005E7F98">
        <w:rPr>
          <w:rFonts w:ascii="Arial" w:hAnsi="Arial" w:cs="Arial"/>
          <w:sz w:val="24"/>
          <w:szCs w:val="24"/>
        </w:rPr>
        <w:t xml:space="preserve"> or the c</w:t>
      </w:r>
      <w:r>
        <w:rPr>
          <w:rFonts w:ascii="Arial" w:hAnsi="Arial" w:cs="Arial"/>
          <w:sz w:val="24"/>
          <w:szCs w:val="24"/>
        </w:rPr>
        <w:t xml:space="preserve">ollege has limited capacity to accommodate all qualifying students in its residences. </w:t>
      </w:r>
    </w:p>
    <w:p w:rsidR="009D2ACB" w:rsidRDefault="00B22468" w:rsidP="00D824E2">
      <w:pPr>
        <w:spacing w:before="100" w:beforeAutospacing="1" w:after="100" w:afterAutospacing="1" w:line="360" w:lineRule="auto"/>
        <w:ind w:left="851" w:hanging="425"/>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Colleges are required to support all students who qualify for </w:t>
      </w:r>
      <w:r w:rsidR="005E7F98">
        <w:rPr>
          <w:rFonts w:ascii="Arial" w:hAnsi="Arial" w:cs="Arial"/>
          <w:sz w:val="24"/>
          <w:szCs w:val="24"/>
        </w:rPr>
        <w:t>accommodation. In this regard, c</w:t>
      </w:r>
      <w:r>
        <w:rPr>
          <w:rFonts w:ascii="Arial" w:hAnsi="Arial" w:cs="Arial"/>
          <w:sz w:val="24"/>
          <w:szCs w:val="24"/>
        </w:rPr>
        <w:t>olleges must consider conducive private accommodation in instances whe</w:t>
      </w:r>
      <w:r w:rsidR="005E7F98">
        <w:rPr>
          <w:rFonts w:ascii="Arial" w:hAnsi="Arial" w:cs="Arial"/>
          <w:sz w:val="24"/>
          <w:szCs w:val="24"/>
        </w:rPr>
        <w:t>re there are limited spaces in c</w:t>
      </w:r>
      <w:r>
        <w:rPr>
          <w:rFonts w:ascii="Arial" w:hAnsi="Arial" w:cs="Arial"/>
          <w:sz w:val="24"/>
          <w:szCs w:val="24"/>
        </w:rPr>
        <w:t>ollege residence</w:t>
      </w:r>
      <w:r>
        <w:rPr>
          <w:rFonts w:ascii="Arial" w:hAnsi="Arial" w:cs="Arial"/>
          <w:sz w:val="24"/>
          <w:szCs w:val="24"/>
          <w:lang w:val="en-US"/>
        </w:rPr>
        <w:t>s,</w:t>
      </w:r>
      <w:r w:rsidR="00415672">
        <w:rPr>
          <w:rFonts w:ascii="Arial" w:hAnsi="Arial" w:cs="Arial"/>
          <w:sz w:val="24"/>
          <w:szCs w:val="24"/>
        </w:rPr>
        <w:t xml:space="preserve"> or there are</w:t>
      </w:r>
      <w:r w:rsidR="005E7F98">
        <w:rPr>
          <w:rFonts w:ascii="Arial" w:hAnsi="Arial" w:cs="Arial"/>
          <w:sz w:val="24"/>
          <w:szCs w:val="24"/>
        </w:rPr>
        <w:t xml:space="preserve"> no c</w:t>
      </w:r>
      <w:r>
        <w:rPr>
          <w:rFonts w:ascii="Arial" w:hAnsi="Arial" w:cs="Arial"/>
          <w:sz w:val="24"/>
          <w:szCs w:val="24"/>
        </w:rPr>
        <w:t>ollege residence</w:t>
      </w:r>
      <w:r w:rsidR="002855FE">
        <w:rPr>
          <w:rFonts w:ascii="Arial" w:hAnsi="Arial" w:cs="Arial"/>
          <w:sz w:val="24"/>
          <w:szCs w:val="24"/>
        </w:rPr>
        <w:t>s</w:t>
      </w:r>
      <w:r>
        <w:rPr>
          <w:rFonts w:ascii="Arial" w:hAnsi="Arial" w:cs="Arial"/>
          <w:sz w:val="24"/>
          <w:szCs w:val="24"/>
        </w:rPr>
        <w:t xml:space="preserve">. Colleges have a responsibility to ensure that students are accommodated in facilities that do not provide a substandard service. </w:t>
      </w:r>
    </w:p>
    <w:p w:rsidR="009D2ACB" w:rsidRDefault="00B22468" w:rsidP="00D824E2">
      <w:pPr>
        <w:spacing w:before="100" w:beforeAutospacing="1" w:after="100" w:afterAutospacing="1" w:line="360" w:lineRule="auto"/>
        <w:ind w:left="851"/>
        <w:jc w:val="both"/>
        <w:rPr>
          <w:rFonts w:ascii="Arial" w:hAnsi="Arial" w:cs="Arial"/>
          <w:sz w:val="24"/>
          <w:szCs w:val="24"/>
        </w:rPr>
      </w:pPr>
      <w:r>
        <w:rPr>
          <w:rFonts w:ascii="Arial" w:hAnsi="Arial" w:cs="Arial"/>
          <w:sz w:val="24"/>
          <w:szCs w:val="24"/>
        </w:rPr>
        <w:t>However, it must be n</w:t>
      </w:r>
      <w:r w:rsidR="005E7F98">
        <w:rPr>
          <w:rFonts w:ascii="Arial" w:hAnsi="Arial" w:cs="Arial"/>
          <w:sz w:val="24"/>
          <w:szCs w:val="24"/>
        </w:rPr>
        <w:t>oted that priority is given to c</w:t>
      </w:r>
      <w:r>
        <w:rPr>
          <w:rFonts w:ascii="Arial" w:hAnsi="Arial" w:cs="Arial"/>
          <w:sz w:val="24"/>
          <w:szCs w:val="24"/>
        </w:rPr>
        <w:t>ollege residence</w:t>
      </w:r>
      <w:r>
        <w:rPr>
          <w:rFonts w:ascii="Arial" w:hAnsi="Arial" w:cs="Arial"/>
          <w:sz w:val="24"/>
          <w:szCs w:val="24"/>
          <w:lang w:val="en-US"/>
        </w:rPr>
        <w:t>s</w:t>
      </w:r>
      <w:r>
        <w:rPr>
          <w:rFonts w:ascii="Arial" w:hAnsi="Arial" w:cs="Arial"/>
          <w:sz w:val="24"/>
          <w:szCs w:val="24"/>
        </w:rPr>
        <w:t xml:space="preserve"> and as such</w:t>
      </w:r>
      <w:r>
        <w:rPr>
          <w:rFonts w:ascii="Arial" w:hAnsi="Arial" w:cs="Arial"/>
          <w:sz w:val="24"/>
          <w:szCs w:val="24"/>
          <w:lang w:val="en-US"/>
        </w:rPr>
        <w:t>,</w:t>
      </w:r>
      <w:r>
        <w:rPr>
          <w:rFonts w:ascii="Arial" w:hAnsi="Arial" w:cs="Arial"/>
          <w:sz w:val="24"/>
          <w:szCs w:val="24"/>
        </w:rPr>
        <w:t xml:space="preserve"> </w:t>
      </w:r>
      <w:r>
        <w:rPr>
          <w:rFonts w:ascii="Arial" w:hAnsi="Arial" w:cs="Arial"/>
          <w:sz w:val="24"/>
          <w:szCs w:val="24"/>
          <w:lang w:val="en-US"/>
        </w:rPr>
        <w:t>private accommoda</w:t>
      </w:r>
      <w:r w:rsidR="005E7F98">
        <w:rPr>
          <w:rFonts w:ascii="Arial" w:hAnsi="Arial" w:cs="Arial"/>
          <w:sz w:val="24"/>
          <w:szCs w:val="24"/>
          <w:lang w:val="en-US"/>
        </w:rPr>
        <w:t>tion may only be considered if c</w:t>
      </w:r>
      <w:r>
        <w:rPr>
          <w:rFonts w:ascii="Arial" w:hAnsi="Arial" w:cs="Arial"/>
          <w:sz w:val="24"/>
          <w:szCs w:val="24"/>
          <w:lang w:val="en-US"/>
        </w:rPr>
        <w:t>ol</w:t>
      </w:r>
      <w:r w:rsidR="00C75C91">
        <w:rPr>
          <w:rFonts w:ascii="Arial" w:hAnsi="Arial" w:cs="Arial"/>
          <w:sz w:val="24"/>
          <w:szCs w:val="24"/>
          <w:lang w:val="en-US"/>
        </w:rPr>
        <w:t>lege residences are already filled to capacity</w:t>
      </w:r>
      <w:r>
        <w:rPr>
          <w:rFonts w:ascii="Arial" w:hAnsi="Arial" w:cs="Arial"/>
          <w:sz w:val="24"/>
          <w:szCs w:val="24"/>
          <w:lang w:val="en-US"/>
        </w:rPr>
        <w:t xml:space="preserve"> </w:t>
      </w:r>
      <w:r w:rsidR="005E7F98">
        <w:rPr>
          <w:rFonts w:ascii="Arial" w:hAnsi="Arial" w:cs="Arial"/>
          <w:sz w:val="24"/>
          <w:szCs w:val="24"/>
          <w:lang w:val="en-US"/>
        </w:rPr>
        <w:t xml:space="preserve">or in instances where the TVET </w:t>
      </w:r>
      <w:proofErr w:type="gramStart"/>
      <w:r w:rsidR="005E7F98">
        <w:rPr>
          <w:rFonts w:ascii="Arial" w:hAnsi="Arial" w:cs="Arial"/>
          <w:sz w:val="24"/>
          <w:szCs w:val="24"/>
          <w:lang w:val="en-US"/>
        </w:rPr>
        <w:t>c</w:t>
      </w:r>
      <w:r>
        <w:rPr>
          <w:rFonts w:ascii="Arial" w:hAnsi="Arial" w:cs="Arial"/>
          <w:sz w:val="24"/>
          <w:szCs w:val="24"/>
          <w:lang w:val="en-US"/>
        </w:rPr>
        <w:t>ollege</w:t>
      </w:r>
      <w:proofErr w:type="gramEnd"/>
      <w:r>
        <w:rPr>
          <w:rFonts w:ascii="Arial" w:hAnsi="Arial" w:cs="Arial"/>
          <w:sz w:val="24"/>
          <w:szCs w:val="24"/>
          <w:lang w:val="en-US"/>
        </w:rPr>
        <w:t xml:space="preserve"> does not have student residential facilities.</w:t>
      </w:r>
    </w:p>
    <w:p w:rsidR="00D824E2" w:rsidRDefault="00D824E2">
      <w:pPr>
        <w:spacing w:after="0" w:line="240" w:lineRule="auto"/>
        <w:rPr>
          <w:rFonts w:ascii="Arial" w:hAnsi="Arial" w:cs="Arial"/>
          <w:b/>
          <w:sz w:val="24"/>
          <w:szCs w:val="24"/>
        </w:rPr>
      </w:pPr>
      <w:bookmarkStart w:id="0" w:name="_GoBack"/>
      <w:bookmarkEnd w:id="0"/>
    </w:p>
    <w:sectPr w:rsidR="00D824E2">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00000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000003"/>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0000004"/>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00000005"/>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5">
    <w:nsid w:val="00000006"/>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000000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0000008"/>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8">
    <w:nsid w:val="0000000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9">
    <w:nsid w:val="0000000A"/>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0000000B"/>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0000000C"/>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0000000D"/>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3">
    <w:nsid w:val="0000000E"/>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0000000F"/>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nsid w:val="00000010"/>
    <w:multiLevelType w:val="hybridMultilevel"/>
    <w:tmpl w:val="2A1257EE"/>
    <w:lvl w:ilvl="0" w:tplc="B8FC1F3A">
      <w:start w:val="1"/>
      <w:numFmt w:val="bullet"/>
      <w:lvlText w:val="–"/>
      <w:lvlJc w:val="left"/>
      <w:pPr>
        <w:tabs>
          <w:tab w:val="left" w:pos="720"/>
        </w:tabs>
        <w:ind w:left="720" w:hanging="360"/>
      </w:pPr>
      <w:rPr>
        <w:rFonts w:ascii="Arial" w:hAnsi="Arial" w:hint="default"/>
      </w:rPr>
    </w:lvl>
    <w:lvl w:ilvl="1" w:tplc="57A0F7DC">
      <w:start w:val="1"/>
      <w:numFmt w:val="bullet"/>
      <w:lvlText w:val="–"/>
      <w:lvlJc w:val="left"/>
      <w:pPr>
        <w:tabs>
          <w:tab w:val="left" w:pos="1440"/>
        </w:tabs>
        <w:ind w:left="1440" w:hanging="360"/>
      </w:pPr>
      <w:rPr>
        <w:rFonts w:ascii="Arial" w:hAnsi="Arial" w:hint="default"/>
      </w:rPr>
    </w:lvl>
    <w:lvl w:ilvl="2" w:tplc="371E05E8" w:tentative="1">
      <w:start w:val="1"/>
      <w:numFmt w:val="bullet"/>
      <w:lvlText w:val="–"/>
      <w:lvlJc w:val="left"/>
      <w:pPr>
        <w:tabs>
          <w:tab w:val="left" w:pos="2160"/>
        </w:tabs>
        <w:ind w:left="2160" w:hanging="360"/>
      </w:pPr>
      <w:rPr>
        <w:rFonts w:ascii="Arial" w:hAnsi="Arial" w:hint="default"/>
      </w:rPr>
    </w:lvl>
    <w:lvl w:ilvl="3" w:tplc="FBD02878" w:tentative="1">
      <w:start w:val="1"/>
      <w:numFmt w:val="bullet"/>
      <w:lvlText w:val="–"/>
      <w:lvlJc w:val="left"/>
      <w:pPr>
        <w:tabs>
          <w:tab w:val="left" w:pos="2880"/>
        </w:tabs>
        <w:ind w:left="2880" w:hanging="360"/>
      </w:pPr>
      <w:rPr>
        <w:rFonts w:ascii="Arial" w:hAnsi="Arial" w:hint="default"/>
      </w:rPr>
    </w:lvl>
    <w:lvl w:ilvl="4" w:tplc="FD0A1B3A" w:tentative="1">
      <w:start w:val="1"/>
      <w:numFmt w:val="bullet"/>
      <w:lvlText w:val="–"/>
      <w:lvlJc w:val="left"/>
      <w:pPr>
        <w:tabs>
          <w:tab w:val="left" w:pos="3600"/>
        </w:tabs>
        <w:ind w:left="3600" w:hanging="360"/>
      </w:pPr>
      <w:rPr>
        <w:rFonts w:ascii="Arial" w:hAnsi="Arial" w:hint="default"/>
      </w:rPr>
    </w:lvl>
    <w:lvl w:ilvl="5" w:tplc="C804F26A" w:tentative="1">
      <w:start w:val="1"/>
      <w:numFmt w:val="bullet"/>
      <w:lvlText w:val="–"/>
      <w:lvlJc w:val="left"/>
      <w:pPr>
        <w:tabs>
          <w:tab w:val="left" w:pos="4320"/>
        </w:tabs>
        <w:ind w:left="4320" w:hanging="360"/>
      </w:pPr>
      <w:rPr>
        <w:rFonts w:ascii="Arial" w:hAnsi="Arial" w:hint="default"/>
      </w:rPr>
    </w:lvl>
    <w:lvl w:ilvl="6" w:tplc="832832B8" w:tentative="1">
      <w:start w:val="1"/>
      <w:numFmt w:val="bullet"/>
      <w:lvlText w:val="–"/>
      <w:lvlJc w:val="left"/>
      <w:pPr>
        <w:tabs>
          <w:tab w:val="left" w:pos="5040"/>
        </w:tabs>
        <w:ind w:left="5040" w:hanging="360"/>
      </w:pPr>
      <w:rPr>
        <w:rFonts w:ascii="Arial" w:hAnsi="Arial" w:hint="default"/>
      </w:rPr>
    </w:lvl>
    <w:lvl w:ilvl="7" w:tplc="1AA0C5AA" w:tentative="1">
      <w:start w:val="1"/>
      <w:numFmt w:val="bullet"/>
      <w:lvlText w:val="–"/>
      <w:lvlJc w:val="left"/>
      <w:pPr>
        <w:tabs>
          <w:tab w:val="left" w:pos="5760"/>
        </w:tabs>
        <w:ind w:left="5760" w:hanging="360"/>
      </w:pPr>
      <w:rPr>
        <w:rFonts w:ascii="Arial" w:hAnsi="Arial" w:hint="default"/>
      </w:rPr>
    </w:lvl>
    <w:lvl w:ilvl="8" w:tplc="A93857B4" w:tentative="1">
      <w:start w:val="1"/>
      <w:numFmt w:val="bullet"/>
      <w:lvlText w:val="–"/>
      <w:lvlJc w:val="left"/>
      <w:pPr>
        <w:tabs>
          <w:tab w:val="left" w:pos="6480"/>
        </w:tabs>
        <w:ind w:left="6480" w:hanging="360"/>
      </w:pPr>
      <w:rPr>
        <w:rFonts w:ascii="Arial" w:hAnsi="Arial" w:hint="default"/>
      </w:rPr>
    </w:lvl>
  </w:abstractNum>
  <w:abstractNum w:abstractNumId="16">
    <w:nsid w:val="00000011"/>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7">
    <w:nsid w:val="00000012"/>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3254DA7"/>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8"/>
  </w:num>
  <w:num w:numId="2">
    <w:abstractNumId w:val="16"/>
  </w:num>
  <w:num w:numId="3">
    <w:abstractNumId w:val="9"/>
  </w:num>
  <w:num w:numId="4">
    <w:abstractNumId w:val="1"/>
  </w:num>
  <w:num w:numId="5">
    <w:abstractNumId w:val="15"/>
  </w:num>
  <w:num w:numId="6">
    <w:abstractNumId w:val="8"/>
  </w:num>
  <w:num w:numId="7">
    <w:abstractNumId w:val="12"/>
  </w:num>
  <w:num w:numId="8">
    <w:abstractNumId w:val="7"/>
  </w:num>
  <w:num w:numId="9">
    <w:abstractNumId w:val="13"/>
  </w:num>
  <w:num w:numId="10">
    <w:abstractNumId w:val="4"/>
  </w:num>
  <w:num w:numId="11">
    <w:abstractNumId w:val="5"/>
  </w:num>
  <w:num w:numId="12">
    <w:abstractNumId w:val="0"/>
  </w:num>
  <w:num w:numId="13">
    <w:abstractNumId w:val="6"/>
  </w:num>
  <w:num w:numId="14">
    <w:abstractNumId w:val="11"/>
  </w:num>
  <w:num w:numId="15">
    <w:abstractNumId w:val="2"/>
  </w:num>
  <w:num w:numId="16">
    <w:abstractNumId w:val="10"/>
  </w:num>
  <w:num w:numId="17">
    <w:abstractNumId w:val="14"/>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CB"/>
    <w:rsid w:val="000A4809"/>
    <w:rsid w:val="002855FE"/>
    <w:rsid w:val="002D3626"/>
    <w:rsid w:val="00415672"/>
    <w:rsid w:val="005E7F98"/>
    <w:rsid w:val="009D2ACB"/>
    <w:rsid w:val="00B22468"/>
    <w:rsid w:val="00C75C91"/>
    <w:rsid w:val="00D824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2B9745-20BD-4DD6-9C92-63C2AAED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imes New Roman"/>
      <w:sz w:val="16"/>
      <w:szCs w:val="16"/>
    </w:rPr>
  </w:style>
  <w:style w:type="character" w:customStyle="1" w:styleId="BalloonTextChar">
    <w:name w:val="Balloon Text Char"/>
    <w:link w:val="BalloonText"/>
    <w:uiPriority w:val="99"/>
    <w:rPr>
      <w:rFonts w:ascii="Tahoma" w:hAnsi="Tahoma" w:cs="Tahoma"/>
      <w:sz w:val="16"/>
      <w:szCs w:val="16"/>
      <w:lang w:val="en-GB"/>
    </w:rPr>
  </w:style>
  <w:style w:type="character" w:styleId="Hyperlink">
    <w:name w:val="Hyperlink"/>
    <w:uiPriority w:val="99"/>
    <w:rPr>
      <w:color w:val="0000FF"/>
      <w:u w:val="single"/>
    </w:rPr>
  </w:style>
  <w:style w:type="paragraph" w:customStyle="1" w:styleId="Char1CharCharChar">
    <w:name w:val="Char1 Char Char Char"/>
    <w:basedOn w:val="Normal"/>
    <w:uiPriority w:val="99"/>
    <w:pPr>
      <w:spacing w:after="160" w:line="240" w:lineRule="exact"/>
    </w:pPr>
    <w:rPr>
      <w:rFonts w:ascii="Arial" w:hAnsi="Arial" w:cs="Arial"/>
      <w:lang w:val="en-US"/>
    </w:rPr>
  </w:style>
  <w:style w:type="paragraph" w:styleId="BodyTextIndent2">
    <w:name w:val="Body Text Indent 2"/>
    <w:basedOn w:val="Normal"/>
    <w:link w:val="BodyTextIndent2Char"/>
    <w:uiPriority w:val="99"/>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rPr>
      <w:lang w:val="en-GB"/>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link w:val="CommentText"/>
    <w:uiPriority w:val="99"/>
    <w:rPr>
      <w:sz w:val="20"/>
      <w:szCs w:val="20"/>
      <w:lang w:val="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lang w:val="en-GB"/>
    </w:rPr>
  </w:style>
  <w:style w:type="paragraph" w:styleId="DocumentMap">
    <w:name w:val="Document Map"/>
    <w:basedOn w:val="Normal"/>
    <w:link w:val="DocumentMapChar"/>
    <w:uiPriority w:val="99"/>
    <w:rPr>
      <w:rFonts w:ascii="Tahoma" w:hAnsi="Tahoma" w:cs="Times New Roman"/>
      <w:sz w:val="16"/>
      <w:szCs w:val="16"/>
    </w:rPr>
  </w:style>
  <w:style w:type="character" w:customStyle="1" w:styleId="DocumentMapChar">
    <w:name w:val="Document Map Char"/>
    <w:link w:val="DocumentMap"/>
    <w:uiPriority w:val="99"/>
    <w:rPr>
      <w:rFonts w:ascii="Tahoma" w:hAnsi="Tahoma" w:cs="Tahoma"/>
      <w:sz w:val="16"/>
      <w:szCs w:val="16"/>
      <w:lang w:val="en-GB"/>
    </w:rPr>
  </w:style>
  <w:style w:type="paragraph" w:styleId="ListParagraph">
    <w:name w:val="List Paragraph"/>
    <w:basedOn w:val="Normal"/>
    <w:uiPriority w:val="34"/>
    <w:qFormat/>
    <w:pPr>
      <w:ind w:left="720"/>
      <w:contextualSpacing/>
    </w:pPr>
  </w:style>
  <w:style w:type="paragraph" w:styleId="BodyTextIndent">
    <w:name w:val="Body Text Indent"/>
    <w:basedOn w:val="Normal"/>
    <w:link w:val="BodyTextIndentChar"/>
    <w:uiPriority w:val="99"/>
    <w:pPr>
      <w:spacing w:after="120"/>
      <w:ind w:left="283"/>
    </w:pPr>
    <w:rPr>
      <w:rFonts w:cs="Times New Roman"/>
    </w:rPr>
  </w:style>
  <w:style w:type="character" w:customStyle="1" w:styleId="BodyTextIndentChar">
    <w:name w:val="Body Text Indent Char"/>
    <w:link w:val="BodyTextIndent"/>
    <w:uiPriority w:val="99"/>
    <w:rPr>
      <w:rFonts w:cs="Calibri"/>
      <w:sz w:val="22"/>
      <w:szCs w:val="22"/>
      <w:lang w:val="en-GB" w:eastAsia="en-US"/>
    </w:rPr>
  </w:style>
  <w:style w:type="character" w:customStyle="1" w:styleId="st">
    <w:name w:val="st"/>
    <w:basedOn w:val="DefaultParagraphFont"/>
  </w:style>
  <w:style w:type="paragraph" w:styleId="PlainText">
    <w:name w:val="Plain Text"/>
    <w:basedOn w:val="Normal"/>
    <w:link w:val="PlainTextChar"/>
    <w:uiPriority w:val="99"/>
    <w:pPr>
      <w:spacing w:after="0" w:line="240" w:lineRule="auto"/>
    </w:pPr>
    <w:rPr>
      <w:rFonts w:cs="Times New Roman"/>
      <w:szCs w:val="21"/>
    </w:rPr>
  </w:style>
  <w:style w:type="character" w:customStyle="1" w:styleId="PlainTextChar">
    <w:name w:val="Plain Text Char"/>
    <w:link w:val="PlainText"/>
    <w:uiPriority w:val="99"/>
    <w:rPr>
      <w:rFonts w:eastAsia="Calibri" w:cs="Times New Roman"/>
      <w:sz w:val="22"/>
      <w:szCs w:val="21"/>
      <w:lang w:eastAsia="en-US"/>
    </w:rPr>
  </w:style>
  <w:style w:type="table" w:styleId="TableGrid">
    <w:name w:val="Table Grid"/>
    <w:basedOn w:val="TableNormal"/>
    <w:uiPriority w:val="59"/>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uiPriority w:val="99"/>
    <w:rPr>
      <w:rFonts w:cs="Calibri"/>
      <w:sz w:val="22"/>
      <w:szCs w:val="22"/>
      <w:lang w:val="en-GB" w:eastAsia="en-US"/>
    </w:rPr>
  </w:style>
  <w:style w:type="paragraph" w:styleId="Title">
    <w:name w:val="Title"/>
    <w:basedOn w:val="Normal"/>
    <w:link w:val="TitleChar"/>
    <w:uiPriority w:val="99"/>
    <w:qFormat/>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dca2290d-4caf-4216-8407-67723792c9d6">
    <w:name w:val="Title Char_dca2290d-4caf-4216-8407-67723792c9d6"/>
    <w:basedOn w:val="DefaultParagraphFont"/>
    <w:rPr>
      <w:rFonts w:ascii="Cambria" w:eastAsia="SimSun" w:hAnsi="Cambria" w:cs="SimSun"/>
      <w:spacing w:val="-10"/>
      <w:kern w:val="28"/>
      <w:sz w:val="56"/>
      <w:szCs w:val="56"/>
      <w:lang w:val="en-GB" w:eastAsia="en-US"/>
    </w:rPr>
  </w:style>
  <w:style w:type="character" w:customStyle="1" w:styleId="TitleChar">
    <w:name w:val="Title Char"/>
    <w:link w:val="Title"/>
    <w:uiPriority w:val="99"/>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3952E-FD7F-4B47-A3C1-95F21F31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September.L</cp:lastModifiedBy>
  <cp:revision>2</cp:revision>
  <cp:lastPrinted>2015-02-27T14:25:00Z</cp:lastPrinted>
  <dcterms:created xsi:type="dcterms:W3CDTF">2018-03-28T11:42:00Z</dcterms:created>
  <dcterms:modified xsi:type="dcterms:W3CDTF">2018-03-28T11:42:00Z</dcterms:modified>
</cp:coreProperties>
</file>