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C8" w:rsidRPr="006871CA" w:rsidRDefault="006871CA" w:rsidP="006871CA">
      <w:pPr>
        <w:pStyle w:val="Heading1"/>
        <w:spacing w:before="0"/>
        <w:ind w:left="3877" w:right="3873"/>
        <w:jc w:val="center"/>
        <w:rPr>
          <w:sz w:val="20"/>
          <w:szCs w:val="20"/>
          <w:u w:val="none"/>
        </w:rPr>
      </w:pPr>
      <w:r w:rsidRPr="006871CA">
        <w:rPr>
          <w:sz w:val="20"/>
          <w:szCs w:val="20"/>
          <w:u w:val="none"/>
        </w:rPr>
        <w:t>NATIONAL ASSEMBLY</w:t>
      </w:r>
    </w:p>
    <w:p w:rsidR="009550C8" w:rsidRPr="006871CA" w:rsidRDefault="009550C8" w:rsidP="006871CA">
      <w:pPr>
        <w:pStyle w:val="BodyText"/>
        <w:rPr>
          <w:b/>
          <w:sz w:val="20"/>
          <w:szCs w:val="20"/>
        </w:rPr>
      </w:pPr>
    </w:p>
    <w:p w:rsidR="009550C8" w:rsidRPr="006871CA" w:rsidRDefault="006871CA" w:rsidP="006871CA">
      <w:pPr>
        <w:ind w:left="112"/>
        <w:rPr>
          <w:b/>
          <w:sz w:val="20"/>
          <w:szCs w:val="20"/>
        </w:rPr>
      </w:pPr>
      <w:r w:rsidRPr="006871CA">
        <w:rPr>
          <w:b/>
          <w:sz w:val="20"/>
          <w:szCs w:val="20"/>
        </w:rPr>
        <w:t>FOR WRITTEN REPLY</w:t>
      </w:r>
    </w:p>
    <w:p w:rsidR="009550C8" w:rsidRPr="006871CA" w:rsidRDefault="009550C8" w:rsidP="006871CA">
      <w:pPr>
        <w:pStyle w:val="BodyText"/>
        <w:rPr>
          <w:b/>
          <w:sz w:val="20"/>
          <w:szCs w:val="20"/>
        </w:rPr>
      </w:pPr>
    </w:p>
    <w:p w:rsidR="009550C8" w:rsidRPr="006871CA" w:rsidRDefault="006871CA" w:rsidP="006871CA">
      <w:pPr>
        <w:ind w:left="112"/>
        <w:rPr>
          <w:b/>
          <w:sz w:val="20"/>
          <w:szCs w:val="20"/>
        </w:rPr>
      </w:pPr>
      <w:r w:rsidRPr="006871CA">
        <w:rPr>
          <w:b/>
          <w:sz w:val="20"/>
          <w:szCs w:val="20"/>
        </w:rPr>
        <w:t>QUESTION NO. 2737</w:t>
      </w:r>
    </w:p>
    <w:p w:rsidR="009550C8" w:rsidRPr="006871CA" w:rsidRDefault="009550C8" w:rsidP="006871CA">
      <w:pPr>
        <w:pStyle w:val="BodyText"/>
        <w:rPr>
          <w:b/>
          <w:sz w:val="20"/>
          <w:szCs w:val="20"/>
        </w:rPr>
      </w:pPr>
    </w:p>
    <w:p w:rsidR="009550C8" w:rsidRPr="006871CA" w:rsidRDefault="006871CA" w:rsidP="006871CA">
      <w:pPr>
        <w:ind w:left="112" w:right="1283"/>
        <w:rPr>
          <w:b/>
          <w:sz w:val="20"/>
          <w:szCs w:val="20"/>
        </w:rPr>
      </w:pPr>
      <w:r w:rsidRPr="006871CA">
        <w:rPr>
          <w:b/>
          <w:sz w:val="20"/>
          <w:szCs w:val="20"/>
        </w:rPr>
        <w:t>DATE OF PUBLICATION IN INTERNAL QUESTION PAPER: 03 DECEMBER 2021</w:t>
      </w:r>
      <w:r w:rsidRPr="006871CA">
        <w:rPr>
          <w:b/>
          <w:sz w:val="20"/>
          <w:szCs w:val="20"/>
        </w:rPr>
        <w:t xml:space="preserve"> </w:t>
      </w:r>
      <w:r w:rsidRPr="006871CA">
        <w:rPr>
          <w:b/>
          <w:sz w:val="20"/>
          <w:szCs w:val="20"/>
        </w:rPr>
        <w:t>(INTERNAL QUESTION PAPER NO. 31)</w:t>
      </w:r>
    </w:p>
    <w:p w:rsidR="009550C8" w:rsidRPr="006871CA" w:rsidRDefault="009550C8" w:rsidP="006871CA">
      <w:pPr>
        <w:pStyle w:val="BodyText"/>
        <w:rPr>
          <w:b/>
          <w:sz w:val="20"/>
          <w:szCs w:val="20"/>
        </w:rPr>
      </w:pPr>
    </w:p>
    <w:p w:rsidR="009550C8" w:rsidRPr="006871CA" w:rsidRDefault="006871CA" w:rsidP="006871CA">
      <w:pPr>
        <w:ind w:left="112"/>
        <w:rPr>
          <w:b/>
          <w:sz w:val="20"/>
          <w:szCs w:val="20"/>
        </w:rPr>
      </w:pPr>
      <w:r w:rsidRPr="006871CA">
        <w:rPr>
          <w:b/>
          <w:sz w:val="20"/>
          <w:szCs w:val="20"/>
        </w:rPr>
        <w:t xml:space="preserve">Ms M D </w:t>
      </w:r>
      <w:proofErr w:type="spellStart"/>
      <w:r w:rsidRPr="006871CA">
        <w:rPr>
          <w:b/>
          <w:sz w:val="20"/>
          <w:szCs w:val="20"/>
        </w:rPr>
        <w:t>Hlengwa</w:t>
      </w:r>
      <w:proofErr w:type="spellEnd"/>
      <w:r w:rsidRPr="006871CA">
        <w:rPr>
          <w:b/>
          <w:sz w:val="20"/>
          <w:szCs w:val="20"/>
        </w:rPr>
        <w:t xml:space="preserve"> (IFP) to ask the Minister of Health:</w:t>
      </w:r>
    </w:p>
    <w:p w:rsidR="009550C8" w:rsidRPr="006871CA" w:rsidRDefault="009550C8" w:rsidP="006871CA">
      <w:pPr>
        <w:pStyle w:val="BodyText"/>
        <w:rPr>
          <w:b/>
          <w:sz w:val="20"/>
          <w:szCs w:val="20"/>
        </w:rPr>
      </w:pPr>
    </w:p>
    <w:p w:rsidR="009550C8" w:rsidRPr="006871CA" w:rsidRDefault="006871CA" w:rsidP="006871CA">
      <w:pPr>
        <w:pStyle w:val="BodyText"/>
        <w:ind w:left="112" w:right="103" w:hanging="12"/>
        <w:jc w:val="both"/>
        <w:rPr>
          <w:sz w:val="20"/>
          <w:szCs w:val="20"/>
        </w:rPr>
      </w:pPr>
      <w:r w:rsidRPr="006871CA">
        <w:rPr>
          <w:sz w:val="20"/>
          <w:szCs w:val="20"/>
        </w:rPr>
        <w:t>With the looming fourth wave of the COVID-19 pandemic and the steady increase of infections, what</w:t>
      </w:r>
      <w:r w:rsidRPr="006871CA">
        <w:rPr>
          <w:spacing w:val="-6"/>
          <w:sz w:val="20"/>
          <w:szCs w:val="20"/>
        </w:rPr>
        <w:t xml:space="preserve"> </w:t>
      </w:r>
      <w:r w:rsidRPr="006871CA">
        <w:rPr>
          <w:sz w:val="20"/>
          <w:szCs w:val="20"/>
        </w:rPr>
        <w:t>total</w:t>
      </w:r>
      <w:r w:rsidRPr="006871CA">
        <w:rPr>
          <w:spacing w:val="-7"/>
          <w:sz w:val="20"/>
          <w:szCs w:val="20"/>
        </w:rPr>
        <w:t xml:space="preserve"> </w:t>
      </w:r>
      <w:r w:rsidRPr="006871CA">
        <w:rPr>
          <w:sz w:val="20"/>
          <w:szCs w:val="20"/>
        </w:rPr>
        <w:t>(a)</w:t>
      </w:r>
      <w:r w:rsidRPr="006871CA">
        <w:rPr>
          <w:spacing w:val="-9"/>
          <w:sz w:val="20"/>
          <w:szCs w:val="20"/>
        </w:rPr>
        <w:t xml:space="preserve"> </w:t>
      </w:r>
      <w:r w:rsidRPr="006871CA">
        <w:rPr>
          <w:sz w:val="20"/>
          <w:szCs w:val="20"/>
        </w:rPr>
        <w:t>number</w:t>
      </w:r>
      <w:r w:rsidRPr="006871CA">
        <w:rPr>
          <w:spacing w:val="-10"/>
          <w:sz w:val="20"/>
          <w:szCs w:val="20"/>
        </w:rPr>
        <w:t xml:space="preserve"> </w:t>
      </w:r>
      <w:r w:rsidRPr="006871CA">
        <w:rPr>
          <w:sz w:val="20"/>
          <w:szCs w:val="20"/>
        </w:rPr>
        <w:t>of</w:t>
      </w:r>
      <w:r w:rsidRPr="006871CA">
        <w:rPr>
          <w:spacing w:val="-3"/>
          <w:sz w:val="20"/>
          <w:szCs w:val="20"/>
        </w:rPr>
        <w:t xml:space="preserve"> </w:t>
      </w:r>
      <w:r w:rsidRPr="006871CA">
        <w:rPr>
          <w:sz w:val="20"/>
          <w:szCs w:val="20"/>
        </w:rPr>
        <w:t>(</w:t>
      </w:r>
      <w:proofErr w:type="spellStart"/>
      <w:r w:rsidRPr="006871CA">
        <w:rPr>
          <w:sz w:val="20"/>
          <w:szCs w:val="20"/>
        </w:rPr>
        <w:t>i</w:t>
      </w:r>
      <w:proofErr w:type="spellEnd"/>
      <w:r w:rsidRPr="006871CA">
        <w:rPr>
          <w:sz w:val="20"/>
          <w:szCs w:val="20"/>
        </w:rPr>
        <w:t>)</w:t>
      </w:r>
      <w:r w:rsidRPr="006871CA">
        <w:rPr>
          <w:spacing w:val="-7"/>
          <w:sz w:val="20"/>
          <w:szCs w:val="20"/>
        </w:rPr>
        <w:t xml:space="preserve"> </w:t>
      </w:r>
      <w:r w:rsidRPr="006871CA">
        <w:rPr>
          <w:sz w:val="20"/>
          <w:szCs w:val="20"/>
        </w:rPr>
        <w:t>hospital</w:t>
      </w:r>
      <w:r w:rsidRPr="006871CA">
        <w:rPr>
          <w:spacing w:val="-9"/>
          <w:sz w:val="20"/>
          <w:szCs w:val="20"/>
        </w:rPr>
        <w:t xml:space="preserve"> </w:t>
      </w:r>
      <w:r w:rsidRPr="006871CA">
        <w:rPr>
          <w:sz w:val="20"/>
          <w:szCs w:val="20"/>
        </w:rPr>
        <w:t>beds</w:t>
      </w:r>
      <w:r w:rsidRPr="006871CA">
        <w:rPr>
          <w:spacing w:val="-9"/>
          <w:sz w:val="20"/>
          <w:szCs w:val="20"/>
        </w:rPr>
        <w:t xml:space="preserve"> </w:t>
      </w:r>
      <w:r w:rsidRPr="006871CA">
        <w:rPr>
          <w:sz w:val="20"/>
          <w:szCs w:val="20"/>
        </w:rPr>
        <w:t>and</w:t>
      </w:r>
      <w:r w:rsidRPr="006871CA">
        <w:rPr>
          <w:spacing w:val="-6"/>
          <w:sz w:val="20"/>
          <w:szCs w:val="20"/>
        </w:rPr>
        <w:t xml:space="preserve"> </w:t>
      </w:r>
      <w:r w:rsidRPr="006871CA">
        <w:rPr>
          <w:sz w:val="20"/>
          <w:szCs w:val="20"/>
        </w:rPr>
        <w:t>(ii)</w:t>
      </w:r>
      <w:r w:rsidRPr="006871CA">
        <w:rPr>
          <w:spacing w:val="-6"/>
          <w:sz w:val="20"/>
          <w:szCs w:val="20"/>
        </w:rPr>
        <w:t xml:space="preserve"> </w:t>
      </w:r>
      <w:r w:rsidRPr="006871CA">
        <w:rPr>
          <w:sz w:val="20"/>
          <w:szCs w:val="20"/>
        </w:rPr>
        <w:t>oxygen</w:t>
      </w:r>
      <w:r w:rsidRPr="006871CA">
        <w:rPr>
          <w:spacing w:val="-6"/>
          <w:sz w:val="20"/>
          <w:szCs w:val="20"/>
        </w:rPr>
        <w:t xml:space="preserve"> </w:t>
      </w:r>
      <w:r w:rsidRPr="006871CA">
        <w:rPr>
          <w:sz w:val="20"/>
          <w:szCs w:val="20"/>
        </w:rPr>
        <w:t>tanks</w:t>
      </w:r>
      <w:r w:rsidRPr="006871CA">
        <w:rPr>
          <w:spacing w:val="-8"/>
          <w:sz w:val="20"/>
          <w:szCs w:val="20"/>
        </w:rPr>
        <w:t xml:space="preserve"> </w:t>
      </w:r>
      <w:r w:rsidRPr="006871CA">
        <w:rPr>
          <w:sz w:val="20"/>
          <w:szCs w:val="20"/>
        </w:rPr>
        <w:t>have</w:t>
      </w:r>
      <w:r w:rsidRPr="006871CA">
        <w:rPr>
          <w:spacing w:val="-6"/>
          <w:sz w:val="20"/>
          <w:szCs w:val="20"/>
        </w:rPr>
        <w:t xml:space="preserve"> </w:t>
      </w:r>
      <w:r w:rsidRPr="006871CA">
        <w:rPr>
          <w:sz w:val="20"/>
          <w:szCs w:val="20"/>
        </w:rPr>
        <w:t>been</w:t>
      </w:r>
      <w:r w:rsidRPr="006871CA">
        <w:rPr>
          <w:spacing w:val="-7"/>
          <w:sz w:val="20"/>
          <w:szCs w:val="20"/>
        </w:rPr>
        <w:t xml:space="preserve"> </w:t>
      </w:r>
      <w:r w:rsidRPr="006871CA">
        <w:rPr>
          <w:sz w:val="20"/>
          <w:szCs w:val="20"/>
        </w:rPr>
        <w:t>made</w:t>
      </w:r>
      <w:r w:rsidRPr="006871CA">
        <w:rPr>
          <w:spacing w:val="-8"/>
          <w:sz w:val="20"/>
          <w:szCs w:val="20"/>
        </w:rPr>
        <w:t xml:space="preserve"> </w:t>
      </w:r>
      <w:r w:rsidRPr="006871CA">
        <w:rPr>
          <w:sz w:val="20"/>
          <w:szCs w:val="20"/>
        </w:rPr>
        <w:t>available</w:t>
      </w:r>
      <w:r w:rsidRPr="006871CA">
        <w:rPr>
          <w:spacing w:val="-6"/>
          <w:sz w:val="20"/>
          <w:szCs w:val="20"/>
        </w:rPr>
        <w:t xml:space="preserve"> </w:t>
      </w:r>
      <w:r w:rsidRPr="006871CA">
        <w:rPr>
          <w:sz w:val="20"/>
          <w:szCs w:val="20"/>
        </w:rPr>
        <w:t>in</w:t>
      </w:r>
      <w:r w:rsidRPr="006871CA">
        <w:rPr>
          <w:spacing w:val="-8"/>
          <w:sz w:val="20"/>
          <w:szCs w:val="20"/>
        </w:rPr>
        <w:t xml:space="preserve"> </w:t>
      </w:r>
      <w:r w:rsidRPr="006871CA">
        <w:rPr>
          <w:sz w:val="20"/>
          <w:szCs w:val="20"/>
        </w:rPr>
        <w:t xml:space="preserve">each province in anticipation of the potential increase in </w:t>
      </w:r>
      <w:proofErr w:type="spellStart"/>
      <w:r w:rsidRPr="006871CA">
        <w:rPr>
          <w:sz w:val="20"/>
          <w:szCs w:val="20"/>
        </w:rPr>
        <w:t>hospitalisa</w:t>
      </w:r>
      <w:r w:rsidRPr="006871CA">
        <w:rPr>
          <w:sz w:val="20"/>
          <w:szCs w:val="20"/>
        </w:rPr>
        <w:t>tions</w:t>
      </w:r>
      <w:proofErr w:type="spellEnd"/>
      <w:r w:rsidRPr="006871CA">
        <w:rPr>
          <w:sz w:val="20"/>
          <w:szCs w:val="20"/>
        </w:rPr>
        <w:t xml:space="preserve"> and (b) consultation </w:t>
      </w:r>
      <w:r w:rsidRPr="006871CA">
        <w:rPr>
          <w:spacing w:val="2"/>
          <w:sz w:val="20"/>
          <w:szCs w:val="20"/>
        </w:rPr>
        <w:t xml:space="preserve">has </w:t>
      </w:r>
      <w:r w:rsidRPr="006871CA">
        <w:rPr>
          <w:sz w:val="20"/>
          <w:szCs w:val="20"/>
        </w:rPr>
        <w:t>his department had with provincial departments of health following the news of the detection of the new Omicron variant in the</w:t>
      </w:r>
      <w:r w:rsidRPr="006871CA">
        <w:rPr>
          <w:spacing w:val="-6"/>
          <w:sz w:val="20"/>
          <w:szCs w:val="20"/>
        </w:rPr>
        <w:t xml:space="preserve"> </w:t>
      </w:r>
      <w:r w:rsidRPr="006871CA">
        <w:rPr>
          <w:sz w:val="20"/>
          <w:szCs w:val="20"/>
        </w:rPr>
        <w:t>Republic?</w:t>
      </w:r>
    </w:p>
    <w:p w:rsidR="009550C8" w:rsidRPr="006871CA" w:rsidRDefault="009550C8" w:rsidP="006871CA">
      <w:pPr>
        <w:pStyle w:val="BodyText"/>
        <w:rPr>
          <w:sz w:val="20"/>
          <w:szCs w:val="20"/>
        </w:rPr>
      </w:pPr>
    </w:p>
    <w:p w:rsidR="009550C8" w:rsidRPr="006871CA" w:rsidRDefault="006871CA" w:rsidP="006871CA">
      <w:pPr>
        <w:ind w:right="104"/>
        <w:jc w:val="right"/>
        <w:rPr>
          <w:b/>
          <w:sz w:val="20"/>
          <w:szCs w:val="20"/>
        </w:rPr>
      </w:pPr>
      <w:r w:rsidRPr="006871CA">
        <w:rPr>
          <w:b/>
          <w:sz w:val="20"/>
          <w:szCs w:val="20"/>
        </w:rPr>
        <w:t>NW3252E</w:t>
      </w:r>
    </w:p>
    <w:p w:rsidR="009550C8" w:rsidRPr="006871CA" w:rsidRDefault="009550C8" w:rsidP="006871CA">
      <w:pPr>
        <w:pStyle w:val="BodyText"/>
        <w:rPr>
          <w:b/>
          <w:sz w:val="20"/>
          <w:szCs w:val="20"/>
        </w:rPr>
      </w:pPr>
    </w:p>
    <w:p w:rsidR="009550C8" w:rsidRPr="006871CA" w:rsidRDefault="009550C8" w:rsidP="006871CA">
      <w:pPr>
        <w:pStyle w:val="BodyText"/>
        <w:rPr>
          <w:b/>
          <w:sz w:val="20"/>
          <w:szCs w:val="20"/>
        </w:rPr>
      </w:pPr>
    </w:p>
    <w:p w:rsidR="009550C8" w:rsidRPr="006871CA" w:rsidRDefault="006871CA" w:rsidP="006871CA">
      <w:pPr>
        <w:pStyle w:val="Heading1"/>
        <w:spacing w:before="0"/>
        <w:rPr>
          <w:sz w:val="20"/>
          <w:szCs w:val="20"/>
          <w:u w:val="none"/>
        </w:rPr>
      </w:pPr>
      <w:r w:rsidRPr="006871CA">
        <w:rPr>
          <w:sz w:val="20"/>
          <w:szCs w:val="20"/>
          <w:u w:val="none"/>
        </w:rPr>
        <w:t>REPLY:</w:t>
      </w:r>
    </w:p>
    <w:p w:rsidR="009550C8" w:rsidRPr="006871CA" w:rsidRDefault="009550C8" w:rsidP="006871CA">
      <w:pPr>
        <w:pStyle w:val="BodyText"/>
        <w:rPr>
          <w:b/>
          <w:sz w:val="20"/>
          <w:szCs w:val="20"/>
        </w:rPr>
      </w:pPr>
    </w:p>
    <w:p w:rsidR="009550C8" w:rsidRPr="006871CA" w:rsidRDefault="006871CA" w:rsidP="006871CA">
      <w:pPr>
        <w:pStyle w:val="ListParagraph"/>
        <w:numPr>
          <w:ilvl w:val="0"/>
          <w:numId w:val="1"/>
        </w:numPr>
        <w:tabs>
          <w:tab w:val="left" w:pos="820"/>
          <w:tab w:val="left" w:pos="821"/>
        </w:tabs>
        <w:rPr>
          <w:sz w:val="20"/>
          <w:szCs w:val="20"/>
        </w:rPr>
      </w:pPr>
      <w:r w:rsidRPr="006871CA">
        <w:rPr>
          <w:sz w:val="20"/>
          <w:szCs w:val="20"/>
        </w:rPr>
        <w:t>Total number of</w:t>
      </w:r>
      <w:r w:rsidRPr="006871CA">
        <w:rPr>
          <w:spacing w:val="1"/>
          <w:sz w:val="20"/>
          <w:szCs w:val="20"/>
        </w:rPr>
        <w:t xml:space="preserve"> </w:t>
      </w:r>
      <w:r w:rsidRPr="006871CA">
        <w:rPr>
          <w:sz w:val="20"/>
          <w:szCs w:val="20"/>
        </w:rPr>
        <w:t>–</w:t>
      </w:r>
    </w:p>
    <w:p w:rsidR="009550C8" w:rsidRPr="006871CA" w:rsidRDefault="009550C8" w:rsidP="006871CA">
      <w:pPr>
        <w:pStyle w:val="BodyText"/>
        <w:rPr>
          <w:sz w:val="20"/>
          <w:szCs w:val="20"/>
        </w:rPr>
      </w:pPr>
    </w:p>
    <w:p w:rsidR="009550C8" w:rsidRPr="006871CA" w:rsidRDefault="006871CA" w:rsidP="006871CA">
      <w:pPr>
        <w:pStyle w:val="ListParagraph"/>
        <w:numPr>
          <w:ilvl w:val="1"/>
          <w:numId w:val="1"/>
        </w:numPr>
        <w:tabs>
          <w:tab w:val="left" w:pos="1530"/>
          <w:tab w:val="left" w:pos="1531"/>
        </w:tabs>
        <w:ind w:hanging="721"/>
        <w:rPr>
          <w:sz w:val="20"/>
          <w:szCs w:val="20"/>
        </w:rPr>
      </w:pPr>
      <w:r w:rsidRPr="006871CA">
        <w:rPr>
          <w:sz w:val="20"/>
          <w:szCs w:val="20"/>
        </w:rPr>
        <w:t>Number of Hospital</w:t>
      </w:r>
      <w:r w:rsidRPr="006871CA">
        <w:rPr>
          <w:spacing w:val="-2"/>
          <w:sz w:val="20"/>
          <w:szCs w:val="20"/>
        </w:rPr>
        <w:t xml:space="preserve"> </w:t>
      </w:r>
      <w:r w:rsidRPr="006871CA">
        <w:rPr>
          <w:sz w:val="20"/>
          <w:szCs w:val="20"/>
        </w:rPr>
        <w:t>beds</w:t>
      </w:r>
    </w:p>
    <w:p w:rsidR="009550C8" w:rsidRPr="006871CA" w:rsidRDefault="009550C8" w:rsidP="006871CA">
      <w:pPr>
        <w:pStyle w:val="BodyText"/>
        <w:rPr>
          <w:sz w:val="20"/>
          <w:szCs w:val="20"/>
        </w:rPr>
      </w:pPr>
    </w:p>
    <w:p w:rsidR="009550C8" w:rsidRPr="006871CA" w:rsidRDefault="006871CA" w:rsidP="006871CA">
      <w:pPr>
        <w:pStyle w:val="BodyText"/>
        <w:ind w:left="1530" w:right="109"/>
        <w:jc w:val="both"/>
        <w:rPr>
          <w:sz w:val="20"/>
          <w:szCs w:val="20"/>
        </w:rPr>
      </w:pPr>
      <w:r w:rsidRPr="006871CA">
        <w:rPr>
          <w:sz w:val="20"/>
          <w:szCs w:val="20"/>
        </w:rPr>
        <w:t>The country has a total of 108 805 general beds and 5616 critical care beds all available for admission of Covid-19 patients.</w:t>
      </w:r>
    </w:p>
    <w:p w:rsidR="009550C8" w:rsidRPr="006871CA" w:rsidRDefault="009550C8" w:rsidP="006871CA">
      <w:pPr>
        <w:pStyle w:val="BodyText"/>
        <w:rPr>
          <w:sz w:val="20"/>
          <w:szCs w:val="20"/>
        </w:rPr>
      </w:pPr>
    </w:p>
    <w:p w:rsidR="009550C8" w:rsidRPr="006871CA" w:rsidRDefault="006871CA" w:rsidP="006871CA">
      <w:pPr>
        <w:pStyle w:val="ListParagraph"/>
        <w:numPr>
          <w:ilvl w:val="1"/>
          <w:numId w:val="1"/>
        </w:numPr>
        <w:tabs>
          <w:tab w:val="left" w:pos="1530"/>
          <w:tab w:val="left" w:pos="1531"/>
        </w:tabs>
        <w:ind w:hanging="721"/>
        <w:rPr>
          <w:sz w:val="20"/>
          <w:szCs w:val="20"/>
        </w:rPr>
      </w:pPr>
      <w:r w:rsidRPr="006871CA">
        <w:rPr>
          <w:sz w:val="20"/>
          <w:szCs w:val="20"/>
        </w:rPr>
        <w:t>Oxygen tanks that have been made available in each</w:t>
      </w:r>
      <w:r w:rsidRPr="006871CA">
        <w:rPr>
          <w:spacing w:val="-10"/>
          <w:sz w:val="20"/>
          <w:szCs w:val="20"/>
        </w:rPr>
        <w:t xml:space="preserve"> </w:t>
      </w:r>
      <w:r w:rsidRPr="006871CA">
        <w:rPr>
          <w:sz w:val="20"/>
          <w:szCs w:val="20"/>
        </w:rPr>
        <w:t>province</w:t>
      </w:r>
    </w:p>
    <w:p w:rsidR="009550C8" w:rsidRPr="006871CA" w:rsidRDefault="009550C8" w:rsidP="006871CA">
      <w:pPr>
        <w:pStyle w:val="BodyText"/>
        <w:rPr>
          <w:sz w:val="20"/>
          <w:szCs w:val="20"/>
        </w:rPr>
      </w:pPr>
    </w:p>
    <w:p w:rsidR="009550C8" w:rsidRPr="006871CA" w:rsidRDefault="006871CA" w:rsidP="006871CA">
      <w:pPr>
        <w:pStyle w:val="BodyText"/>
        <w:ind w:left="1530" w:right="105"/>
        <w:jc w:val="both"/>
        <w:rPr>
          <w:sz w:val="20"/>
          <w:szCs w:val="20"/>
        </w:rPr>
      </w:pPr>
      <w:r w:rsidRPr="006871CA">
        <w:rPr>
          <w:sz w:val="20"/>
          <w:szCs w:val="20"/>
        </w:rPr>
        <w:t>The oxygen tanks are allocated per hospital and not per province. Th</w:t>
      </w:r>
      <w:r w:rsidRPr="006871CA">
        <w:rPr>
          <w:sz w:val="20"/>
          <w:szCs w:val="20"/>
        </w:rPr>
        <w:t>e size of the tank is based on the size of the hospital and its capability to manage patients that require oxygenation. The oxygen tanks per hospital are attached as annexure A. Over</w:t>
      </w:r>
      <w:r w:rsidRPr="006871CA">
        <w:rPr>
          <w:spacing w:val="-12"/>
          <w:sz w:val="20"/>
          <w:szCs w:val="20"/>
        </w:rPr>
        <w:t xml:space="preserve"> </w:t>
      </w:r>
      <w:r w:rsidRPr="006871CA">
        <w:rPr>
          <w:sz w:val="20"/>
          <w:szCs w:val="20"/>
        </w:rPr>
        <w:t>and</w:t>
      </w:r>
      <w:r w:rsidRPr="006871CA">
        <w:rPr>
          <w:spacing w:val="-13"/>
          <w:sz w:val="20"/>
          <w:szCs w:val="20"/>
        </w:rPr>
        <w:t xml:space="preserve"> </w:t>
      </w:r>
      <w:r w:rsidRPr="006871CA">
        <w:rPr>
          <w:sz w:val="20"/>
          <w:szCs w:val="20"/>
        </w:rPr>
        <w:t>above</w:t>
      </w:r>
      <w:r w:rsidRPr="006871CA">
        <w:rPr>
          <w:spacing w:val="-11"/>
          <w:sz w:val="20"/>
          <w:szCs w:val="20"/>
        </w:rPr>
        <w:t xml:space="preserve"> </w:t>
      </w:r>
      <w:r w:rsidRPr="006871CA">
        <w:rPr>
          <w:sz w:val="20"/>
          <w:szCs w:val="20"/>
        </w:rPr>
        <w:t>these</w:t>
      </w:r>
      <w:r w:rsidRPr="006871CA">
        <w:rPr>
          <w:spacing w:val="-13"/>
          <w:sz w:val="20"/>
          <w:szCs w:val="20"/>
        </w:rPr>
        <w:t xml:space="preserve"> </w:t>
      </w:r>
      <w:r w:rsidRPr="006871CA">
        <w:rPr>
          <w:sz w:val="20"/>
          <w:szCs w:val="20"/>
        </w:rPr>
        <w:t>tanks,</w:t>
      </w:r>
      <w:r w:rsidRPr="006871CA">
        <w:rPr>
          <w:spacing w:val="-13"/>
          <w:sz w:val="20"/>
          <w:szCs w:val="20"/>
        </w:rPr>
        <w:t xml:space="preserve"> </w:t>
      </w:r>
      <w:r w:rsidRPr="006871CA">
        <w:rPr>
          <w:sz w:val="20"/>
          <w:szCs w:val="20"/>
        </w:rPr>
        <w:t>Afrox</w:t>
      </w:r>
      <w:r w:rsidRPr="006871CA">
        <w:rPr>
          <w:spacing w:val="-14"/>
          <w:sz w:val="20"/>
          <w:szCs w:val="20"/>
        </w:rPr>
        <w:t xml:space="preserve"> </w:t>
      </w:r>
      <w:r w:rsidRPr="006871CA">
        <w:rPr>
          <w:sz w:val="20"/>
          <w:szCs w:val="20"/>
        </w:rPr>
        <w:t>has</w:t>
      </w:r>
      <w:r w:rsidRPr="006871CA">
        <w:rPr>
          <w:spacing w:val="-15"/>
          <w:sz w:val="20"/>
          <w:szCs w:val="20"/>
        </w:rPr>
        <w:t xml:space="preserve"> </w:t>
      </w:r>
      <w:r w:rsidRPr="006871CA">
        <w:rPr>
          <w:sz w:val="20"/>
          <w:szCs w:val="20"/>
        </w:rPr>
        <w:t>further</w:t>
      </w:r>
      <w:r w:rsidRPr="006871CA">
        <w:rPr>
          <w:spacing w:val="-17"/>
          <w:sz w:val="20"/>
          <w:szCs w:val="20"/>
        </w:rPr>
        <w:t xml:space="preserve"> </w:t>
      </w:r>
      <w:r w:rsidRPr="006871CA">
        <w:rPr>
          <w:sz w:val="20"/>
          <w:szCs w:val="20"/>
        </w:rPr>
        <w:t>repurposed</w:t>
      </w:r>
      <w:r w:rsidRPr="006871CA">
        <w:rPr>
          <w:spacing w:val="-13"/>
          <w:sz w:val="20"/>
          <w:szCs w:val="20"/>
        </w:rPr>
        <w:t xml:space="preserve"> </w:t>
      </w:r>
      <w:r w:rsidRPr="006871CA">
        <w:rPr>
          <w:sz w:val="20"/>
          <w:szCs w:val="20"/>
        </w:rPr>
        <w:t>the</w:t>
      </w:r>
      <w:r w:rsidRPr="006871CA">
        <w:rPr>
          <w:spacing w:val="-13"/>
          <w:sz w:val="20"/>
          <w:szCs w:val="20"/>
        </w:rPr>
        <w:t xml:space="preserve"> </w:t>
      </w:r>
      <w:r w:rsidRPr="006871CA">
        <w:rPr>
          <w:sz w:val="20"/>
          <w:szCs w:val="20"/>
        </w:rPr>
        <w:t>oxygen</w:t>
      </w:r>
      <w:r w:rsidRPr="006871CA">
        <w:rPr>
          <w:spacing w:val="-11"/>
          <w:sz w:val="20"/>
          <w:szCs w:val="20"/>
        </w:rPr>
        <w:t xml:space="preserve"> </w:t>
      </w:r>
      <w:r w:rsidRPr="006871CA">
        <w:rPr>
          <w:sz w:val="20"/>
          <w:szCs w:val="20"/>
        </w:rPr>
        <w:t>cylinders</w:t>
      </w:r>
      <w:r w:rsidRPr="006871CA">
        <w:rPr>
          <w:spacing w:val="-12"/>
          <w:sz w:val="20"/>
          <w:szCs w:val="20"/>
        </w:rPr>
        <w:t xml:space="preserve"> </w:t>
      </w:r>
      <w:r w:rsidRPr="006871CA">
        <w:rPr>
          <w:spacing w:val="2"/>
          <w:sz w:val="20"/>
          <w:szCs w:val="20"/>
        </w:rPr>
        <w:t xml:space="preserve">and </w:t>
      </w:r>
      <w:r w:rsidRPr="006871CA">
        <w:rPr>
          <w:sz w:val="20"/>
          <w:szCs w:val="20"/>
        </w:rPr>
        <w:t>increased the capacity from 9000 cylinders that were available before Covid-19 to 19 000that are available for use during the</w:t>
      </w:r>
      <w:r w:rsidRPr="006871CA">
        <w:rPr>
          <w:spacing w:val="-12"/>
          <w:sz w:val="20"/>
          <w:szCs w:val="20"/>
        </w:rPr>
        <w:t xml:space="preserve"> </w:t>
      </w:r>
      <w:r w:rsidRPr="006871CA">
        <w:rPr>
          <w:sz w:val="20"/>
          <w:szCs w:val="20"/>
        </w:rPr>
        <w:t>pandemic.</w:t>
      </w:r>
    </w:p>
    <w:p w:rsidR="009550C8" w:rsidRPr="006871CA" w:rsidRDefault="009550C8" w:rsidP="006871CA">
      <w:pPr>
        <w:pStyle w:val="BodyText"/>
        <w:rPr>
          <w:sz w:val="20"/>
          <w:szCs w:val="20"/>
        </w:rPr>
      </w:pPr>
    </w:p>
    <w:p w:rsidR="009550C8" w:rsidRPr="006871CA" w:rsidRDefault="006871CA" w:rsidP="006871CA">
      <w:pPr>
        <w:pStyle w:val="ListParagraph"/>
        <w:numPr>
          <w:ilvl w:val="0"/>
          <w:numId w:val="1"/>
        </w:numPr>
        <w:tabs>
          <w:tab w:val="left" w:pos="821"/>
        </w:tabs>
        <w:ind w:right="107"/>
        <w:jc w:val="both"/>
        <w:rPr>
          <w:sz w:val="20"/>
          <w:szCs w:val="20"/>
        </w:rPr>
      </w:pPr>
      <w:r w:rsidRPr="006871CA">
        <w:rPr>
          <w:sz w:val="20"/>
          <w:szCs w:val="20"/>
        </w:rPr>
        <w:t>The</w:t>
      </w:r>
      <w:r w:rsidRPr="006871CA">
        <w:rPr>
          <w:spacing w:val="-6"/>
          <w:sz w:val="20"/>
          <w:szCs w:val="20"/>
        </w:rPr>
        <w:t xml:space="preserve"> </w:t>
      </w:r>
      <w:r w:rsidRPr="006871CA">
        <w:rPr>
          <w:sz w:val="20"/>
          <w:szCs w:val="20"/>
        </w:rPr>
        <w:t>department</w:t>
      </w:r>
      <w:r w:rsidRPr="006871CA">
        <w:rPr>
          <w:spacing w:val="-6"/>
          <w:sz w:val="20"/>
          <w:szCs w:val="20"/>
        </w:rPr>
        <w:t xml:space="preserve"> </w:t>
      </w:r>
      <w:r w:rsidRPr="006871CA">
        <w:rPr>
          <w:sz w:val="20"/>
          <w:szCs w:val="20"/>
        </w:rPr>
        <w:t>held</w:t>
      </w:r>
      <w:r w:rsidRPr="006871CA">
        <w:rPr>
          <w:spacing w:val="-3"/>
          <w:sz w:val="20"/>
          <w:szCs w:val="20"/>
        </w:rPr>
        <w:t xml:space="preserve"> </w:t>
      </w:r>
      <w:r w:rsidRPr="006871CA">
        <w:rPr>
          <w:sz w:val="20"/>
          <w:szCs w:val="20"/>
        </w:rPr>
        <w:t>the</w:t>
      </w:r>
      <w:r w:rsidRPr="006871CA">
        <w:rPr>
          <w:spacing w:val="-4"/>
          <w:sz w:val="20"/>
          <w:szCs w:val="20"/>
        </w:rPr>
        <w:t xml:space="preserve"> </w:t>
      </w:r>
      <w:r w:rsidRPr="006871CA">
        <w:rPr>
          <w:sz w:val="20"/>
          <w:szCs w:val="20"/>
        </w:rPr>
        <w:t>two</w:t>
      </w:r>
      <w:r w:rsidRPr="006871CA">
        <w:rPr>
          <w:spacing w:val="-6"/>
          <w:sz w:val="20"/>
          <w:szCs w:val="20"/>
        </w:rPr>
        <w:t xml:space="preserve"> </w:t>
      </w:r>
      <w:r w:rsidRPr="006871CA">
        <w:rPr>
          <w:sz w:val="20"/>
          <w:szCs w:val="20"/>
        </w:rPr>
        <w:t>day</w:t>
      </w:r>
      <w:r w:rsidRPr="006871CA">
        <w:rPr>
          <w:spacing w:val="-6"/>
          <w:sz w:val="20"/>
          <w:szCs w:val="20"/>
        </w:rPr>
        <w:t xml:space="preserve"> </w:t>
      </w:r>
      <w:r w:rsidRPr="006871CA">
        <w:rPr>
          <w:sz w:val="20"/>
          <w:szCs w:val="20"/>
        </w:rPr>
        <w:t>workshop</w:t>
      </w:r>
      <w:r w:rsidRPr="006871CA">
        <w:rPr>
          <w:spacing w:val="-6"/>
          <w:sz w:val="20"/>
          <w:szCs w:val="20"/>
        </w:rPr>
        <w:t xml:space="preserve"> </w:t>
      </w:r>
      <w:r w:rsidRPr="006871CA">
        <w:rPr>
          <w:sz w:val="20"/>
          <w:szCs w:val="20"/>
        </w:rPr>
        <w:t>with</w:t>
      </w:r>
      <w:r w:rsidRPr="006871CA">
        <w:rPr>
          <w:spacing w:val="-3"/>
          <w:sz w:val="20"/>
          <w:szCs w:val="20"/>
        </w:rPr>
        <w:t xml:space="preserve"> </w:t>
      </w:r>
      <w:r w:rsidRPr="006871CA">
        <w:rPr>
          <w:sz w:val="20"/>
          <w:szCs w:val="20"/>
        </w:rPr>
        <w:t>the</w:t>
      </w:r>
      <w:r w:rsidRPr="006871CA">
        <w:rPr>
          <w:spacing w:val="-6"/>
          <w:sz w:val="20"/>
          <w:szCs w:val="20"/>
        </w:rPr>
        <w:t xml:space="preserve"> </w:t>
      </w:r>
      <w:r w:rsidRPr="006871CA">
        <w:rPr>
          <w:sz w:val="20"/>
          <w:szCs w:val="20"/>
        </w:rPr>
        <w:t>provinces,</w:t>
      </w:r>
      <w:r w:rsidRPr="006871CA">
        <w:rPr>
          <w:spacing w:val="-4"/>
          <w:sz w:val="20"/>
          <w:szCs w:val="20"/>
        </w:rPr>
        <w:t xml:space="preserve"> </w:t>
      </w:r>
      <w:r w:rsidRPr="006871CA">
        <w:rPr>
          <w:sz w:val="20"/>
          <w:szCs w:val="20"/>
        </w:rPr>
        <w:t>in</w:t>
      </w:r>
      <w:r w:rsidRPr="006871CA">
        <w:rPr>
          <w:spacing w:val="-5"/>
          <w:sz w:val="20"/>
          <w:szCs w:val="20"/>
        </w:rPr>
        <w:t xml:space="preserve"> </w:t>
      </w:r>
      <w:r w:rsidRPr="006871CA">
        <w:rPr>
          <w:sz w:val="20"/>
          <w:szCs w:val="20"/>
        </w:rPr>
        <w:t>anticipation</w:t>
      </w:r>
      <w:r w:rsidRPr="006871CA">
        <w:rPr>
          <w:spacing w:val="-6"/>
          <w:sz w:val="20"/>
          <w:szCs w:val="20"/>
        </w:rPr>
        <w:t xml:space="preserve"> </w:t>
      </w:r>
      <w:r w:rsidRPr="006871CA">
        <w:rPr>
          <w:sz w:val="20"/>
          <w:szCs w:val="20"/>
        </w:rPr>
        <w:t>of</w:t>
      </w:r>
      <w:r w:rsidRPr="006871CA">
        <w:rPr>
          <w:spacing w:val="-3"/>
          <w:sz w:val="20"/>
          <w:szCs w:val="20"/>
        </w:rPr>
        <w:t xml:space="preserve"> </w:t>
      </w:r>
      <w:r w:rsidRPr="006871CA">
        <w:rPr>
          <w:sz w:val="20"/>
          <w:szCs w:val="20"/>
        </w:rPr>
        <w:t>the</w:t>
      </w:r>
      <w:r w:rsidRPr="006871CA">
        <w:rPr>
          <w:spacing w:val="-8"/>
          <w:sz w:val="20"/>
          <w:szCs w:val="20"/>
        </w:rPr>
        <w:t xml:space="preserve"> </w:t>
      </w:r>
      <w:r w:rsidRPr="006871CA">
        <w:rPr>
          <w:sz w:val="20"/>
          <w:szCs w:val="20"/>
        </w:rPr>
        <w:t>fourth wave as part of the broad consultative process. This planning was irrespective of the variant, but more focused on the getting all resources ready for the pandemic knowing all variants are different but that they require proper planning. From this w</w:t>
      </w:r>
      <w:r w:rsidRPr="006871CA">
        <w:rPr>
          <w:sz w:val="20"/>
          <w:szCs w:val="20"/>
        </w:rPr>
        <w:t>orkshop, the provinces developed resurgence plans which are currently being implemented. Over and above these plans, the department, through the National Institute, as a partner, communicates with the provinces through the submission of the Situational Rep</w:t>
      </w:r>
      <w:r w:rsidRPr="006871CA">
        <w:rPr>
          <w:sz w:val="20"/>
          <w:szCs w:val="20"/>
        </w:rPr>
        <w:t>ort on the variants. The departmental Incident Management Team has also allocated senior managers as provincial leads, who work directly with the provinces and they report to the National IMT every week on</w:t>
      </w:r>
      <w:r w:rsidRPr="006871CA">
        <w:rPr>
          <w:spacing w:val="-8"/>
          <w:sz w:val="20"/>
          <w:szCs w:val="20"/>
        </w:rPr>
        <w:t xml:space="preserve"> </w:t>
      </w:r>
      <w:r w:rsidRPr="006871CA">
        <w:rPr>
          <w:sz w:val="20"/>
          <w:szCs w:val="20"/>
        </w:rPr>
        <w:t>Thursday.</w:t>
      </w:r>
    </w:p>
    <w:p w:rsidR="009550C8" w:rsidRPr="006871CA" w:rsidRDefault="009550C8" w:rsidP="006871CA">
      <w:pPr>
        <w:pStyle w:val="BodyText"/>
        <w:rPr>
          <w:sz w:val="20"/>
          <w:szCs w:val="20"/>
        </w:rPr>
      </w:pPr>
    </w:p>
    <w:p w:rsidR="009550C8" w:rsidRPr="006871CA" w:rsidRDefault="006871CA" w:rsidP="006871CA">
      <w:pPr>
        <w:pStyle w:val="BodyText"/>
        <w:ind w:left="179"/>
        <w:rPr>
          <w:sz w:val="20"/>
          <w:szCs w:val="20"/>
        </w:rPr>
      </w:pPr>
      <w:r w:rsidRPr="006871CA">
        <w:rPr>
          <w:sz w:val="20"/>
          <w:szCs w:val="20"/>
        </w:rPr>
        <w:t>END.</w:t>
      </w:r>
    </w:p>
    <w:sectPr w:rsidR="009550C8" w:rsidRPr="006871CA" w:rsidSect="009550C8">
      <w:type w:val="continuous"/>
      <w:pgSz w:w="11910" w:h="16840"/>
      <w:pgMar w:top="820" w:right="740" w:bottom="280" w:left="7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4678E"/>
    <w:multiLevelType w:val="hybridMultilevel"/>
    <w:tmpl w:val="B4522BB2"/>
    <w:lvl w:ilvl="0" w:tplc="9904DEAA">
      <w:start w:val="1"/>
      <w:numFmt w:val="lowerLetter"/>
      <w:lvlText w:val="(%1)"/>
      <w:lvlJc w:val="left"/>
      <w:pPr>
        <w:ind w:left="820" w:hanging="709"/>
        <w:jc w:val="left"/>
      </w:pPr>
      <w:rPr>
        <w:rFonts w:ascii="Arial" w:eastAsia="Arial" w:hAnsi="Arial" w:cs="Arial" w:hint="default"/>
        <w:w w:val="99"/>
        <w:sz w:val="20"/>
        <w:szCs w:val="20"/>
        <w:lang w:val="en-US" w:eastAsia="en-US" w:bidi="en-US"/>
      </w:rPr>
    </w:lvl>
    <w:lvl w:ilvl="1" w:tplc="E5B4B376">
      <w:start w:val="1"/>
      <w:numFmt w:val="lowerRoman"/>
      <w:lvlText w:val="(%2)"/>
      <w:lvlJc w:val="left"/>
      <w:pPr>
        <w:ind w:left="1530" w:hanging="720"/>
        <w:jc w:val="left"/>
      </w:pPr>
      <w:rPr>
        <w:rFonts w:ascii="Arial" w:eastAsia="Arial" w:hAnsi="Arial" w:cs="Arial" w:hint="default"/>
        <w:spacing w:val="-3"/>
        <w:w w:val="99"/>
        <w:sz w:val="20"/>
        <w:szCs w:val="20"/>
        <w:lang w:val="en-US" w:eastAsia="en-US" w:bidi="en-US"/>
      </w:rPr>
    </w:lvl>
    <w:lvl w:ilvl="2" w:tplc="F8708F36">
      <w:numFmt w:val="bullet"/>
      <w:lvlText w:val="•"/>
      <w:lvlJc w:val="left"/>
      <w:pPr>
        <w:ind w:left="2527" w:hanging="720"/>
      </w:pPr>
      <w:rPr>
        <w:rFonts w:hint="default"/>
        <w:lang w:val="en-US" w:eastAsia="en-US" w:bidi="en-US"/>
      </w:rPr>
    </w:lvl>
    <w:lvl w:ilvl="3" w:tplc="6F0A485A">
      <w:numFmt w:val="bullet"/>
      <w:lvlText w:val="•"/>
      <w:lvlJc w:val="left"/>
      <w:pPr>
        <w:ind w:left="3514" w:hanging="720"/>
      </w:pPr>
      <w:rPr>
        <w:rFonts w:hint="default"/>
        <w:lang w:val="en-US" w:eastAsia="en-US" w:bidi="en-US"/>
      </w:rPr>
    </w:lvl>
    <w:lvl w:ilvl="4" w:tplc="27EE5630">
      <w:numFmt w:val="bullet"/>
      <w:lvlText w:val="•"/>
      <w:lvlJc w:val="left"/>
      <w:pPr>
        <w:ind w:left="4502" w:hanging="720"/>
      </w:pPr>
      <w:rPr>
        <w:rFonts w:hint="default"/>
        <w:lang w:val="en-US" w:eastAsia="en-US" w:bidi="en-US"/>
      </w:rPr>
    </w:lvl>
    <w:lvl w:ilvl="5" w:tplc="003EA63A">
      <w:numFmt w:val="bullet"/>
      <w:lvlText w:val="•"/>
      <w:lvlJc w:val="left"/>
      <w:pPr>
        <w:ind w:left="5489" w:hanging="720"/>
      </w:pPr>
      <w:rPr>
        <w:rFonts w:hint="default"/>
        <w:lang w:val="en-US" w:eastAsia="en-US" w:bidi="en-US"/>
      </w:rPr>
    </w:lvl>
    <w:lvl w:ilvl="6" w:tplc="6BBEB7EA">
      <w:numFmt w:val="bullet"/>
      <w:lvlText w:val="•"/>
      <w:lvlJc w:val="left"/>
      <w:pPr>
        <w:ind w:left="6476" w:hanging="720"/>
      </w:pPr>
      <w:rPr>
        <w:rFonts w:hint="default"/>
        <w:lang w:val="en-US" w:eastAsia="en-US" w:bidi="en-US"/>
      </w:rPr>
    </w:lvl>
    <w:lvl w:ilvl="7" w:tplc="1A7675C2">
      <w:numFmt w:val="bullet"/>
      <w:lvlText w:val="•"/>
      <w:lvlJc w:val="left"/>
      <w:pPr>
        <w:ind w:left="7464" w:hanging="720"/>
      </w:pPr>
      <w:rPr>
        <w:rFonts w:hint="default"/>
        <w:lang w:val="en-US" w:eastAsia="en-US" w:bidi="en-US"/>
      </w:rPr>
    </w:lvl>
    <w:lvl w:ilvl="8" w:tplc="0DCA724E">
      <w:numFmt w:val="bullet"/>
      <w:lvlText w:val="•"/>
      <w:lvlJc w:val="left"/>
      <w:pPr>
        <w:ind w:left="8451"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550C8"/>
    <w:rsid w:val="006871CA"/>
    <w:rsid w:val="00955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50C8"/>
    <w:rPr>
      <w:rFonts w:ascii="Arial" w:eastAsia="Arial" w:hAnsi="Arial" w:cs="Arial"/>
      <w:lang w:bidi="en-US"/>
    </w:rPr>
  </w:style>
  <w:style w:type="paragraph" w:styleId="Heading1">
    <w:name w:val="heading 1"/>
    <w:basedOn w:val="Normal"/>
    <w:uiPriority w:val="1"/>
    <w:qFormat/>
    <w:rsid w:val="009550C8"/>
    <w:pPr>
      <w:spacing w:before="92"/>
      <w:ind w:left="1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550C8"/>
    <w:rPr>
      <w:sz w:val="24"/>
      <w:szCs w:val="24"/>
    </w:rPr>
  </w:style>
  <w:style w:type="paragraph" w:styleId="ListParagraph">
    <w:name w:val="List Paragraph"/>
    <w:basedOn w:val="Normal"/>
    <w:uiPriority w:val="1"/>
    <w:qFormat/>
    <w:rsid w:val="009550C8"/>
    <w:pPr>
      <w:ind w:left="820" w:hanging="721"/>
    </w:pPr>
  </w:style>
  <w:style w:type="paragraph" w:customStyle="1" w:styleId="TableParagraph">
    <w:name w:val="Table Paragraph"/>
    <w:basedOn w:val="Normal"/>
    <w:uiPriority w:val="1"/>
    <w:qFormat/>
    <w:rsid w:val="009550C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dcterms:created xsi:type="dcterms:W3CDTF">2022-01-18T06:35:00Z</dcterms:created>
  <dcterms:modified xsi:type="dcterms:W3CDTF">2022-01-18T06:57:00Z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2016</vt:lpwstr>
  </property>
  <property fmtid="{D5CDD505-2E9C-101B-9397-08002B2CF9AE}" pid="4" name="LastSaved">
    <vt:filetime>2022-01-18T00:00:00Z</vt:filetime>
  </property>
</Properties>
</file>