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69716DE9" wp14:editId="3F9267C0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773E6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>QUESTION FOR WRITTEN REPLY</w:t>
      </w:r>
    </w:p>
    <w:p w:rsidR="00642A1D" w:rsidRPr="00773E6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>QUESTION NUMBER:</w:t>
      </w:r>
      <w:r w:rsidR="004A3B9E" w:rsidRPr="00773E6C">
        <w:rPr>
          <w:rFonts w:ascii="Arial" w:hAnsi="Arial" w:cs="Arial"/>
          <w:b/>
          <w:bCs/>
        </w:rPr>
        <w:t xml:space="preserve"> </w:t>
      </w:r>
      <w:r w:rsidR="000A600A">
        <w:rPr>
          <w:rFonts w:ascii="Arial" w:hAnsi="Arial" w:cs="Arial"/>
          <w:b/>
          <w:bCs/>
        </w:rPr>
        <w:t>2</w:t>
      </w:r>
      <w:r w:rsidR="00077EEC">
        <w:rPr>
          <w:rFonts w:ascii="Arial" w:hAnsi="Arial" w:cs="Arial"/>
          <w:b/>
          <w:bCs/>
        </w:rPr>
        <w:t>7</w:t>
      </w:r>
      <w:r w:rsidR="00BE6A3C">
        <w:rPr>
          <w:rFonts w:ascii="Arial" w:hAnsi="Arial" w:cs="Arial"/>
          <w:b/>
          <w:bCs/>
        </w:rPr>
        <w:t>3</w:t>
      </w:r>
      <w:r w:rsidR="00B45B12">
        <w:rPr>
          <w:rFonts w:ascii="Arial" w:hAnsi="Arial" w:cs="Arial"/>
          <w:b/>
          <w:bCs/>
        </w:rPr>
        <w:t>4</w:t>
      </w:r>
      <w:r w:rsidR="004836B9" w:rsidRPr="00773E6C">
        <w:rPr>
          <w:rFonts w:ascii="Arial" w:hAnsi="Arial" w:cs="Arial"/>
          <w:b/>
          <w:bCs/>
        </w:rPr>
        <w:t xml:space="preserve"> </w:t>
      </w:r>
      <w:r w:rsidRPr="00773E6C">
        <w:rPr>
          <w:rFonts w:ascii="Arial" w:hAnsi="Arial" w:cs="Arial"/>
          <w:b/>
          <w:lang w:val="en-US"/>
        </w:rPr>
        <w:t>[</w:t>
      </w:r>
      <w:r w:rsidR="00B45B12" w:rsidRPr="00B45B12">
        <w:rPr>
          <w:rFonts w:ascii="Arial" w:hAnsi="Arial" w:cs="Arial"/>
          <w:sz w:val="20"/>
          <w:szCs w:val="20"/>
          <w:lang w:val="en-US"/>
        </w:rPr>
        <w:t>NW3041E</w:t>
      </w:r>
      <w:r w:rsidRPr="00773E6C">
        <w:rPr>
          <w:rFonts w:ascii="Arial" w:hAnsi="Arial" w:cs="Arial"/>
          <w:b/>
          <w:lang w:val="en-US"/>
        </w:rPr>
        <w:t>]</w:t>
      </w:r>
    </w:p>
    <w:p w:rsidR="004A3B9E" w:rsidRPr="00773E6C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73E6C">
        <w:rPr>
          <w:rFonts w:ascii="Arial" w:hAnsi="Arial" w:cs="Arial"/>
          <w:b/>
          <w:lang w:val="en-US"/>
        </w:rPr>
        <w:t xml:space="preserve">DATE OF PUBLICATION: </w:t>
      </w:r>
      <w:r w:rsidR="004E233F">
        <w:rPr>
          <w:rFonts w:ascii="Arial" w:hAnsi="Arial" w:cs="Arial"/>
          <w:b/>
          <w:lang w:val="en-US"/>
        </w:rPr>
        <w:t>08 September</w:t>
      </w:r>
      <w:r w:rsidR="00C417A3">
        <w:rPr>
          <w:rFonts w:ascii="Arial" w:hAnsi="Arial" w:cs="Arial"/>
          <w:b/>
          <w:lang w:val="en-US"/>
        </w:rPr>
        <w:t xml:space="preserve"> </w:t>
      </w:r>
      <w:r w:rsidR="003D36F1" w:rsidRPr="00773E6C">
        <w:rPr>
          <w:rFonts w:ascii="Arial" w:hAnsi="Arial" w:cs="Arial"/>
          <w:b/>
          <w:lang w:val="en-US"/>
        </w:rPr>
        <w:t>2017</w:t>
      </w:r>
    </w:p>
    <w:p w:rsidR="00B45B12" w:rsidRPr="00B45B12" w:rsidRDefault="00B45B12" w:rsidP="00B45B12">
      <w:pPr>
        <w:spacing w:before="100" w:beforeAutospacing="1" w:after="100" w:afterAutospacing="1"/>
        <w:ind w:left="851" w:hanging="851"/>
        <w:rPr>
          <w:rFonts w:ascii="Arial" w:hAnsi="Arial" w:cs="Arial"/>
          <w:b/>
          <w:lang w:val="en-US"/>
        </w:rPr>
      </w:pPr>
      <w:r w:rsidRPr="00B45B12">
        <w:rPr>
          <w:rFonts w:ascii="Arial" w:hAnsi="Arial" w:cs="Arial"/>
          <w:b/>
          <w:lang w:val="en-US"/>
        </w:rPr>
        <w:t>2734.</w:t>
      </w:r>
      <w:r w:rsidRPr="00B45B12">
        <w:rPr>
          <w:rFonts w:ascii="Arial" w:hAnsi="Arial" w:cs="Arial"/>
          <w:b/>
          <w:lang w:val="en-US"/>
        </w:rPr>
        <w:tab/>
      </w:r>
      <w:proofErr w:type="spellStart"/>
      <w:r w:rsidRPr="00B45B12">
        <w:rPr>
          <w:rFonts w:ascii="Arial" w:hAnsi="Arial" w:cs="Arial"/>
          <w:b/>
          <w:lang w:val="en-US"/>
        </w:rPr>
        <w:t>Mr</w:t>
      </w:r>
      <w:proofErr w:type="spellEnd"/>
      <w:r w:rsidRPr="00B45B12">
        <w:rPr>
          <w:rFonts w:ascii="Arial" w:hAnsi="Arial" w:cs="Arial"/>
          <w:b/>
          <w:lang w:val="en-US"/>
        </w:rPr>
        <w:t xml:space="preserve"> D J </w:t>
      </w:r>
      <w:proofErr w:type="spellStart"/>
      <w:r w:rsidRPr="00B45B12">
        <w:rPr>
          <w:rFonts w:ascii="Arial" w:hAnsi="Arial" w:cs="Arial"/>
          <w:b/>
          <w:lang w:val="en-US"/>
        </w:rPr>
        <w:t>Maynier</w:t>
      </w:r>
      <w:proofErr w:type="spellEnd"/>
      <w:r w:rsidRPr="00B45B12">
        <w:rPr>
          <w:rFonts w:ascii="Arial" w:hAnsi="Arial" w:cs="Arial"/>
          <w:b/>
          <w:lang w:val="en-US"/>
        </w:rPr>
        <w:t xml:space="preserve"> (DA) to ask the Minister of Finance:</w:t>
      </w:r>
    </w:p>
    <w:p w:rsidR="00B45B12" w:rsidRPr="005D719B" w:rsidRDefault="00B45B12" w:rsidP="00B45B12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US"/>
        </w:rPr>
      </w:pPr>
      <w:r w:rsidRPr="005D719B">
        <w:rPr>
          <w:rFonts w:ascii="Arial" w:hAnsi="Arial" w:cs="Arial"/>
        </w:rPr>
        <w:t>What is the detailed (a) breakdown of and (b) valuation for current and non-current assets and investments held by the (i) Industrial Development Corporation, (ii) Development Bank of Southern Africa and (iii) Land Bank according to (aa) listed assets (</w:t>
      </w:r>
      <w:proofErr w:type="spellStart"/>
      <w:r w:rsidRPr="005D719B">
        <w:rPr>
          <w:rFonts w:ascii="Arial" w:hAnsi="Arial" w:cs="Arial"/>
        </w:rPr>
        <w:t>aaa</w:t>
      </w:r>
      <w:proofErr w:type="spellEnd"/>
      <w:r w:rsidRPr="005D719B">
        <w:rPr>
          <w:rFonts w:ascii="Arial" w:hAnsi="Arial" w:cs="Arial"/>
        </w:rPr>
        <w:t>) held and (</w:t>
      </w:r>
      <w:proofErr w:type="spellStart"/>
      <w:r w:rsidRPr="005D719B">
        <w:rPr>
          <w:rFonts w:ascii="Arial" w:hAnsi="Arial" w:cs="Arial"/>
        </w:rPr>
        <w:t>bbb</w:t>
      </w:r>
      <w:proofErr w:type="spellEnd"/>
      <w:r w:rsidRPr="005D719B">
        <w:rPr>
          <w:rFonts w:ascii="Arial" w:hAnsi="Arial" w:cs="Arial"/>
        </w:rPr>
        <w:t>) indirectly held and (bb) unlisted investments (</w:t>
      </w:r>
      <w:proofErr w:type="spellStart"/>
      <w:r w:rsidRPr="005D719B">
        <w:rPr>
          <w:rFonts w:ascii="Arial" w:hAnsi="Arial" w:cs="Arial"/>
        </w:rPr>
        <w:t>aaa</w:t>
      </w:r>
      <w:proofErr w:type="spellEnd"/>
      <w:r w:rsidRPr="005D719B">
        <w:rPr>
          <w:rFonts w:ascii="Arial" w:hAnsi="Arial" w:cs="Arial"/>
        </w:rPr>
        <w:t>) held and (</w:t>
      </w:r>
      <w:proofErr w:type="spellStart"/>
      <w:r w:rsidRPr="005D719B">
        <w:rPr>
          <w:rFonts w:ascii="Arial" w:hAnsi="Arial" w:cs="Arial"/>
        </w:rPr>
        <w:t>bbb</w:t>
      </w:r>
      <w:proofErr w:type="spellEnd"/>
      <w:r w:rsidRPr="005D719B">
        <w:rPr>
          <w:rFonts w:ascii="Arial" w:hAnsi="Arial" w:cs="Arial"/>
        </w:rPr>
        <w:t>) indirectly held by each of the entities, in each case breaking the current assets and investments down by 0-3 months, 3-6 months, 6-12 months and beyond 12 months</w:t>
      </w:r>
      <w:r w:rsidRPr="005D719B">
        <w:rPr>
          <w:rFonts w:ascii="Arial" w:hAnsi="Arial" w:cs="Arial"/>
          <w:lang w:val="en-US"/>
        </w:rPr>
        <w:t>?</w:t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lang w:val="en-US"/>
        </w:rPr>
        <w:tab/>
      </w:r>
      <w:r w:rsidRPr="005D719B">
        <w:rPr>
          <w:rFonts w:ascii="Arial" w:hAnsi="Arial" w:cs="Arial"/>
          <w:sz w:val="20"/>
          <w:szCs w:val="20"/>
          <w:lang w:val="en-US"/>
        </w:rPr>
        <w:t>NW3041E</w:t>
      </w:r>
    </w:p>
    <w:p w:rsidR="00B10F75" w:rsidRPr="0076693F" w:rsidRDefault="00B10F75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B10F75" w:rsidRDefault="00B10F75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  <w:r w:rsidRPr="0076693F">
        <w:rPr>
          <w:rFonts w:ascii="Arial" w:hAnsi="Arial" w:cs="Arial"/>
          <w:b/>
        </w:rPr>
        <w:t>Reply:</w:t>
      </w:r>
    </w:p>
    <w:p w:rsidR="0076693F" w:rsidRDefault="0076693F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</w:rPr>
      </w:pPr>
    </w:p>
    <w:p w:rsidR="0076693F" w:rsidRPr="0076693F" w:rsidRDefault="0076693F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</w:rPr>
      </w:pPr>
      <w:r w:rsidRPr="0076693F">
        <w:rPr>
          <w:rFonts w:ascii="Arial" w:hAnsi="Arial" w:cs="Arial"/>
        </w:rPr>
        <w:t xml:space="preserve">Land bank and DBSA responses are provided below, however, IDC does not report to the </w:t>
      </w:r>
      <w:r w:rsidR="00AF3F5E">
        <w:rPr>
          <w:rFonts w:ascii="Arial" w:hAnsi="Arial" w:cs="Arial"/>
        </w:rPr>
        <w:t>National Treasury</w:t>
      </w:r>
      <w:r w:rsidRPr="0076693F">
        <w:rPr>
          <w:rFonts w:ascii="Arial" w:hAnsi="Arial" w:cs="Arial"/>
        </w:rPr>
        <w:t xml:space="preserve">. </w:t>
      </w:r>
    </w:p>
    <w:p w:rsidR="00B10F75" w:rsidRPr="0076693F" w:rsidRDefault="00B10F75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0F75" w:rsidRPr="00FD5A52" w:rsidRDefault="0076693F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LAND BANK RESPONSES</w:t>
      </w:r>
      <w:r w:rsidR="00FD5A52">
        <w:rPr>
          <w:rFonts w:ascii="Arial" w:hAnsi="Arial" w:cs="Arial"/>
          <w:b/>
          <w:sz w:val="20"/>
          <w:szCs w:val="20"/>
        </w:rPr>
        <w:t>:</w:t>
      </w:r>
    </w:p>
    <w:p w:rsidR="00B10F75" w:rsidRDefault="00B10F75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71F8" w:rsidRPr="005D719B" w:rsidRDefault="00FD71F8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719B">
        <w:rPr>
          <w:rFonts w:ascii="Arial" w:hAnsi="Arial" w:cs="Arial"/>
          <w:sz w:val="20"/>
          <w:szCs w:val="20"/>
        </w:rPr>
        <w:t>(a) (</w:t>
      </w:r>
      <w:proofErr w:type="gramStart"/>
      <w:r w:rsidRPr="005D719B">
        <w:rPr>
          <w:rFonts w:ascii="Arial" w:hAnsi="Arial" w:cs="Arial"/>
          <w:sz w:val="20"/>
          <w:szCs w:val="20"/>
        </w:rPr>
        <w:t>b</w:t>
      </w:r>
      <w:proofErr w:type="gramEnd"/>
      <w:r w:rsidRPr="005D719B">
        <w:rPr>
          <w:rFonts w:ascii="Arial" w:hAnsi="Arial" w:cs="Arial"/>
          <w:sz w:val="20"/>
          <w:szCs w:val="20"/>
        </w:rPr>
        <w:t>) (iii)</w:t>
      </w:r>
    </w:p>
    <w:p w:rsidR="004836B9" w:rsidRPr="005D719B" w:rsidRDefault="001F1163" w:rsidP="001F116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D719B">
        <w:rPr>
          <w:rFonts w:ascii="Arial" w:hAnsi="Arial" w:cs="Arial"/>
          <w:sz w:val="20"/>
          <w:szCs w:val="20"/>
        </w:rPr>
        <w:tab/>
      </w:r>
      <w:r w:rsidRPr="005D719B">
        <w:rPr>
          <w:rFonts w:ascii="Arial" w:hAnsi="Arial" w:cs="Arial"/>
          <w:sz w:val="20"/>
          <w:szCs w:val="20"/>
        </w:rPr>
        <w:tab/>
      </w:r>
      <w:r w:rsidRPr="005D719B">
        <w:rPr>
          <w:rFonts w:ascii="Arial" w:hAnsi="Arial" w:cs="Arial"/>
          <w:sz w:val="20"/>
          <w:szCs w:val="20"/>
        </w:rPr>
        <w:tab/>
      </w:r>
    </w:p>
    <w:p w:rsidR="009B0870" w:rsidRPr="005D719B" w:rsidRDefault="009B0870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D719B">
        <w:rPr>
          <w:rFonts w:ascii="Arial" w:hAnsi="Arial" w:cs="Arial"/>
          <w:b/>
          <w:sz w:val="22"/>
          <w:szCs w:val="22"/>
          <w:lang w:val="en-US"/>
        </w:rPr>
        <w:t>Distinction between current and non – current</w:t>
      </w:r>
      <w:r w:rsidR="000A6822" w:rsidRPr="005D719B">
        <w:rPr>
          <w:rFonts w:ascii="Arial" w:hAnsi="Arial" w:cs="Arial"/>
          <w:b/>
          <w:sz w:val="22"/>
          <w:szCs w:val="22"/>
          <w:lang w:val="en-US"/>
        </w:rPr>
        <w:t xml:space="preserve"> assets</w:t>
      </w:r>
      <w:r w:rsidRPr="005D719B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7C4F5D" w:rsidRPr="005D719B" w:rsidRDefault="009B0870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D719B">
        <w:rPr>
          <w:rFonts w:ascii="Arial" w:hAnsi="Arial" w:cs="Arial"/>
          <w:sz w:val="22"/>
          <w:szCs w:val="22"/>
          <w:lang w:val="en-US"/>
        </w:rPr>
        <w:t>The Group presents the assets and liabilities in decreasing order of liquidity as it provides information that is more reliable and relevant than a current/non-current presentation because the Group does not supply goods or services within a clearly identifiable operating cycle.</w:t>
      </w:r>
      <w:r w:rsidRPr="005D719B">
        <w:rPr>
          <w:rFonts w:ascii="Arial" w:hAnsi="Arial" w:cs="Arial"/>
          <w:sz w:val="22"/>
          <w:szCs w:val="22"/>
          <w:lang w:val="en-US"/>
        </w:rPr>
        <w:tab/>
      </w:r>
      <w:r w:rsidRPr="005D719B">
        <w:rPr>
          <w:rFonts w:ascii="Arial" w:hAnsi="Arial" w:cs="Arial"/>
          <w:sz w:val="22"/>
          <w:szCs w:val="22"/>
          <w:lang w:val="en-US"/>
        </w:rPr>
        <w:tab/>
      </w:r>
      <w:r w:rsidRPr="005D719B">
        <w:rPr>
          <w:rFonts w:ascii="Arial" w:hAnsi="Arial" w:cs="Arial"/>
          <w:sz w:val="22"/>
          <w:szCs w:val="22"/>
          <w:lang w:val="en-US"/>
        </w:rPr>
        <w:tab/>
      </w:r>
      <w:r w:rsidRPr="005D719B">
        <w:rPr>
          <w:rFonts w:ascii="Arial" w:hAnsi="Arial" w:cs="Arial"/>
          <w:sz w:val="22"/>
          <w:szCs w:val="22"/>
          <w:lang w:val="en-US"/>
        </w:rPr>
        <w:tab/>
      </w:r>
      <w:r w:rsidRPr="005D719B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3"/>
        <w:gridCol w:w="1803"/>
        <w:gridCol w:w="1802"/>
        <w:gridCol w:w="1802"/>
      </w:tblGrid>
      <w:tr w:rsidR="00FD71F8" w:rsidRPr="005D719B" w:rsidTr="005D719B">
        <w:tc>
          <w:tcPr>
            <w:tcW w:w="9019" w:type="dxa"/>
            <w:gridSpan w:val="5"/>
          </w:tcPr>
          <w:p w:rsidR="00FD71F8" w:rsidRPr="005D719B" w:rsidRDefault="00FD71F8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b/>
                <w:sz w:val="22"/>
                <w:szCs w:val="22"/>
                <w:lang w:val="en-US"/>
              </w:rPr>
              <w:t>Gross Loans by Maturity Value</w:t>
            </w:r>
          </w:p>
        </w:tc>
      </w:tr>
      <w:tr w:rsidR="007C4F5D" w:rsidRPr="005D719B" w:rsidTr="005D719B">
        <w:tc>
          <w:tcPr>
            <w:tcW w:w="1809" w:type="dxa"/>
          </w:tcPr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803" w:type="dxa"/>
          </w:tcPr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803" w:type="dxa"/>
          </w:tcPr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802" w:type="dxa"/>
          </w:tcPr>
          <w:p w:rsidR="007C4F5D" w:rsidRPr="005D719B" w:rsidRDefault="00FB3AA8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Bank 2017</w:t>
            </w:r>
          </w:p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802" w:type="dxa"/>
          </w:tcPr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Bank </w:t>
            </w:r>
            <w:r w:rsidR="00FB3AA8" w:rsidRPr="005D719B">
              <w:rPr>
                <w:rFonts w:ascii="Arial" w:hAnsi="Arial" w:cs="Arial"/>
                <w:sz w:val="22"/>
                <w:szCs w:val="22"/>
                <w:lang w:val="en-US"/>
              </w:rPr>
              <w:t>2016</w:t>
            </w:r>
          </w:p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7C4F5D" w:rsidRPr="005D719B" w:rsidTr="005D719B">
        <w:tc>
          <w:tcPr>
            <w:tcW w:w="1809" w:type="dxa"/>
          </w:tcPr>
          <w:p w:rsidR="007C4F5D" w:rsidRPr="005D719B" w:rsidRDefault="007C4F5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&lt; 3 Months</w:t>
            </w:r>
          </w:p>
        </w:tc>
        <w:tc>
          <w:tcPr>
            <w:tcW w:w="1803" w:type="dxa"/>
          </w:tcPr>
          <w:p w:rsidR="007C4F5D" w:rsidRPr="005D719B" w:rsidRDefault="007C4F5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7 685 650</w:t>
            </w:r>
          </w:p>
        </w:tc>
        <w:tc>
          <w:tcPr>
            <w:tcW w:w="1803" w:type="dxa"/>
          </w:tcPr>
          <w:p w:rsidR="007C4F5D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6 209 050</w:t>
            </w:r>
          </w:p>
        </w:tc>
        <w:tc>
          <w:tcPr>
            <w:tcW w:w="1802" w:type="dxa"/>
          </w:tcPr>
          <w:p w:rsidR="007C4F5D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7 685 650</w:t>
            </w:r>
          </w:p>
        </w:tc>
        <w:tc>
          <w:tcPr>
            <w:tcW w:w="1802" w:type="dxa"/>
          </w:tcPr>
          <w:p w:rsidR="007C4F5D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6 209 050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5D719B" w:rsidRDefault="001025FE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3 – 6 months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4 793 132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4 606 878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4 793 132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4 606 878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5D719B" w:rsidRDefault="001025FE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6 – 9 months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3 533 562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1 506 583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3 533 562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1 506 583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5D719B" w:rsidRDefault="001025FE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9 – 12 months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1 004 508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545 831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1 004 508</w:t>
            </w:r>
          </w:p>
        </w:tc>
        <w:tc>
          <w:tcPr>
            <w:tcW w:w="1802" w:type="dxa"/>
          </w:tcPr>
          <w:p w:rsidR="001025FE" w:rsidRPr="005D719B" w:rsidRDefault="00FB3AA8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545 831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5D719B" w:rsidRDefault="0081193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1025FE" w:rsidRPr="005D719B">
              <w:rPr>
                <w:rFonts w:ascii="Arial" w:hAnsi="Arial" w:cs="Arial"/>
                <w:sz w:val="22"/>
                <w:szCs w:val="22"/>
                <w:lang w:val="en-US"/>
              </w:rPr>
              <w:t>– 5 years</w:t>
            </w:r>
          </w:p>
        </w:tc>
        <w:tc>
          <w:tcPr>
            <w:tcW w:w="1803" w:type="dxa"/>
          </w:tcPr>
          <w:p w:rsidR="001025FE" w:rsidRPr="005D719B" w:rsidRDefault="0081193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4 </w:t>
            </w:r>
            <w:r w:rsidR="001025FE" w:rsidRPr="005D719B">
              <w:rPr>
                <w:rFonts w:ascii="Arial" w:hAnsi="Arial" w:cs="Arial"/>
                <w:sz w:val="22"/>
                <w:szCs w:val="22"/>
                <w:lang w:val="en-US"/>
              </w:rPr>
              <w:t>351 860</w:t>
            </w:r>
          </w:p>
        </w:tc>
        <w:tc>
          <w:tcPr>
            <w:tcW w:w="1803" w:type="dxa"/>
          </w:tcPr>
          <w:p w:rsidR="001025FE" w:rsidRPr="005D719B" w:rsidRDefault="0081193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9 </w:t>
            </w:r>
            <w:r w:rsidR="001025FE" w:rsidRPr="005D719B">
              <w:rPr>
                <w:rFonts w:ascii="Arial" w:hAnsi="Arial" w:cs="Arial"/>
                <w:sz w:val="22"/>
                <w:szCs w:val="22"/>
                <w:lang w:val="en-US"/>
              </w:rPr>
              <w:t>082 557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4 351 860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9 082 557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5D719B" w:rsidRDefault="001025FE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&gt;</w:t>
            </w:r>
            <w:r w:rsidR="00740F2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5 years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21 655 326</w:t>
            </w:r>
          </w:p>
        </w:tc>
        <w:tc>
          <w:tcPr>
            <w:tcW w:w="1803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16 873 417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21 655 326</w:t>
            </w:r>
          </w:p>
        </w:tc>
        <w:tc>
          <w:tcPr>
            <w:tcW w:w="1802" w:type="dxa"/>
          </w:tcPr>
          <w:p w:rsidR="001025FE" w:rsidRPr="005D719B" w:rsidRDefault="001025F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16 873 417</w:t>
            </w:r>
          </w:p>
        </w:tc>
      </w:tr>
      <w:tr w:rsidR="001025FE" w:rsidRPr="005D719B" w:rsidTr="005D719B">
        <w:tc>
          <w:tcPr>
            <w:tcW w:w="1809" w:type="dxa"/>
          </w:tcPr>
          <w:p w:rsidR="001025FE" w:rsidRPr="00740F25" w:rsidRDefault="001025FE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0F25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TOTAL</w:t>
            </w:r>
          </w:p>
        </w:tc>
        <w:tc>
          <w:tcPr>
            <w:tcW w:w="1803" w:type="dxa"/>
          </w:tcPr>
          <w:p w:rsidR="001025FE" w:rsidRPr="00740F25" w:rsidRDefault="009B0870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0F25">
              <w:rPr>
                <w:rFonts w:ascii="Arial" w:hAnsi="Arial" w:cs="Arial"/>
                <w:b/>
                <w:sz w:val="22"/>
                <w:szCs w:val="22"/>
                <w:lang w:val="en-US"/>
              </w:rPr>
              <w:t>43 024 038</w:t>
            </w:r>
          </w:p>
        </w:tc>
        <w:tc>
          <w:tcPr>
            <w:tcW w:w="1803" w:type="dxa"/>
          </w:tcPr>
          <w:p w:rsidR="001025FE" w:rsidRPr="00740F25" w:rsidRDefault="009B0870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0F25">
              <w:rPr>
                <w:rFonts w:ascii="Arial" w:hAnsi="Arial" w:cs="Arial"/>
                <w:b/>
                <w:sz w:val="22"/>
                <w:szCs w:val="22"/>
                <w:lang w:val="en-US"/>
              </w:rPr>
              <w:t>38 824 315</w:t>
            </w:r>
          </w:p>
        </w:tc>
        <w:tc>
          <w:tcPr>
            <w:tcW w:w="1802" w:type="dxa"/>
          </w:tcPr>
          <w:p w:rsidR="001025FE" w:rsidRPr="00740F25" w:rsidRDefault="009B0870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0F25">
              <w:rPr>
                <w:rFonts w:ascii="Arial" w:hAnsi="Arial" w:cs="Arial"/>
                <w:b/>
                <w:sz w:val="22"/>
                <w:szCs w:val="22"/>
                <w:lang w:val="en-US"/>
              </w:rPr>
              <w:t>43 024 038</w:t>
            </w:r>
          </w:p>
        </w:tc>
        <w:tc>
          <w:tcPr>
            <w:tcW w:w="1802" w:type="dxa"/>
          </w:tcPr>
          <w:p w:rsidR="001025FE" w:rsidRPr="00740F25" w:rsidRDefault="009B0870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40F25">
              <w:rPr>
                <w:rFonts w:ascii="Arial" w:hAnsi="Arial" w:cs="Arial"/>
                <w:b/>
                <w:sz w:val="22"/>
                <w:szCs w:val="22"/>
                <w:lang w:val="en-US"/>
              </w:rPr>
              <w:t>38 824 315</w:t>
            </w:r>
          </w:p>
        </w:tc>
      </w:tr>
    </w:tbl>
    <w:p w:rsidR="009B0870" w:rsidRPr="005D719B" w:rsidRDefault="00FD71F8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D719B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5D719B">
        <w:rPr>
          <w:rFonts w:ascii="Arial" w:hAnsi="Arial" w:cs="Arial"/>
          <w:sz w:val="22"/>
          <w:szCs w:val="22"/>
          <w:lang w:val="en-US"/>
        </w:rPr>
        <w:t>aa</w:t>
      </w:r>
      <w:proofErr w:type="gramEnd"/>
      <w:r w:rsidRPr="005D719B">
        <w:rPr>
          <w:rFonts w:ascii="Arial" w:hAnsi="Arial" w:cs="Arial"/>
          <w:sz w:val="22"/>
          <w:szCs w:val="22"/>
          <w:lang w:val="en-US"/>
        </w:rPr>
        <w:t>)</w:t>
      </w:r>
      <w:r w:rsidR="00740F25">
        <w:rPr>
          <w:rFonts w:ascii="Arial" w:hAnsi="Arial" w:cs="Arial"/>
          <w:sz w:val="22"/>
          <w:szCs w:val="22"/>
          <w:lang w:val="en-US"/>
        </w:rPr>
        <w:tab/>
      </w:r>
      <w:r w:rsidR="00740F25">
        <w:rPr>
          <w:rFonts w:ascii="Arial" w:hAnsi="Arial" w:cs="Arial"/>
          <w:sz w:val="22"/>
          <w:szCs w:val="22"/>
          <w:lang w:val="en-US"/>
        </w:rPr>
        <w:tab/>
        <w:t>Listed Investments:</w:t>
      </w:r>
    </w:p>
    <w:p w:rsidR="009B0870" w:rsidRDefault="00337DAC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aaa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="00740F25">
        <w:rPr>
          <w:rFonts w:ascii="Arial" w:hAnsi="Arial" w:cs="Arial"/>
          <w:sz w:val="22"/>
          <w:szCs w:val="22"/>
          <w:lang w:val="en-US"/>
        </w:rPr>
        <w:tab/>
        <w:t>Held directly:</w:t>
      </w:r>
    </w:p>
    <w:p w:rsidR="0076693F" w:rsidRPr="0076693F" w:rsidRDefault="0076693F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369"/>
      </w:tblGrid>
      <w:tr w:rsidR="00DE5536" w:rsidRPr="005D719B" w:rsidTr="004F11D1">
        <w:tc>
          <w:tcPr>
            <w:tcW w:w="9019" w:type="dxa"/>
            <w:gridSpan w:val="5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b/>
                <w:sz w:val="22"/>
                <w:szCs w:val="22"/>
                <w:lang w:val="en-US"/>
              </w:rPr>
              <w:t>Listed investment (1)</w:t>
            </w:r>
          </w:p>
        </w:tc>
      </w:tr>
      <w:tr w:rsidR="00DE5536" w:rsidRPr="005D719B" w:rsidTr="0053403E">
        <w:tc>
          <w:tcPr>
            <w:tcW w:w="3256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559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418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Bank 2017</w:t>
            </w:r>
          </w:p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369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Bank 2016</w:t>
            </w:r>
          </w:p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DE5536" w:rsidRPr="005D719B" w:rsidTr="0053403E">
        <w:tc>
          <w:tcPr>
            <w:tcW w:w="3256" w:type="dxa"/>
          </w:tcPr>
          <w:p w:rsidR="00DE5536" w:rsidRPr="005D719B" w:rsidRDefault="00DE5536" w:rsidP="00DE5536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Rhodes Food Group Holdings Limited</w:t>
            </w:r>
          </w:p>
        </w:tc>
        <w:tc>
          <w:tcPr>
            <w:tcW w:w="1417" w:type="dxa"/>
          </w:tcPr>
          <w:p w:rsidR="00DE5536" w:rsidRPr="005D719B" w:rsidRDefault="00DE5536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197 000</w:t>
            </w:r>
          </w:p>
        </w:tc>
        <w:tc>
          <w:tcPr>
            <w:tcW w:w="1559" w:type="dxa"/>
          </w:tcPr>
          <w:p w:rsidR="00DE5536" w:rsidRPr="005D719B" w:rsidRDefault="00DE5536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DE5536" w:rsidRPr="005D719B" w:rsidRDefault="00DE5536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197 000</w:t>
            </w:r>
          </w:p>
        </w:tc>
        <w:tc>
          <w:tcPr>
            <w:tcW w:w="1369" w:type="dxa"/>
          </w:tcPr>
          <w:p w:rsidR="00DE5536" w:rsidRPr="005D719B" w:rsidRDefault="00DE5536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</w:tbl>
    <w:p w:rsidR="007C4F5D" w:rsidRPr="008A1D6E" w:rsidRDefault="007C4F5D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8A1D6E" w:rsidRPr="008A1D6E" w:rsidRDefault="008A1D6E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A1D6E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8A1D6E">
        <w:rPr>
          <w:rFonts w:ascii="Arial" w:hAnsi="Arial" w:cs="Arial"/>
          <w:sz w:val="22"/>
          <w:szCs w:val="22"/>
          <w:lang w:val="en-US"/>
        </w:rPr>
        <w:t>bbb</w:t>
      </w:r>
      <w:proofErr w:type="spellEnd"/>
      <w:proofErr w:type="gramEnd"/>
      <w:r w:rsidRPr="008A1D6E">
        <w:rPr>
          <w:rFonts w:ascii="Arial" w:hAnsi="Arial" w:cs="Arial"/>
          <w:sz w:val="22"/>
          <w:szCs w:val="22"/>
          <w:lang w:val="en-US"/>
        </w:rPr>
        <w:t>)</w:t>
      </w:r>
      <w:r w:rsidR="00740F25">
        <w:rPr>
          <w:rFonts w:ascii="Arial" w:hAnsi="Arial" w:cs="Arial"/>
          <w:sz w:val="22"/>
          <w:szCs w:val="22"/>
          <w:lang w:val="en-US"/>
        </w:rPr>
        <w:t xml:space="preserve"> </w:t>
      </w:r>
      <w:r w:rsidR="00740F25">
        <w:rPr>
          <w:rFonts w:ascii="Arial" w:hAnsi="Arial" w:cs="Arial"/>
          <w:sz w:val="22"/>
          <w:szCs w:val="22"/>
          <w:lang w:val="en-US"/>
        </w:rPr>
        <w:tab/>
        <w:t>Held indirectly:</w:t>
      </w:r>
    </w:p>
    <w:p w:rsidR="008A1D6E" w:rsidRDefault="008A1D6E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402"/>
        <w:gridCol w:w="1559"/>
        <w:gridCol w:w="1418"/>
        <w:gridCol w:w="1369"/>
      </w:tblGrid>
      <w:tr w:rsidR="007F32FC" w:rsidRPr="00337DAC" w:rsidTr="003F05A7">
        <w:tc>
          <w:tcPr>
            <w:tcW w:w="9019" w:type="dxa"/>
            <w:gridSpan w:val="5"/>
          </w:tcPr>
          <w:p w:rsidR="007F32F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32FC">
              <w:rPr>
                <w:rFonts w:ascii="Arial" w:hAnsi="Arial" w:cs="Arial"/>
                <w:b/>
                <w:sz w:val="22"/>
                <w:szCs w:val="22"/>
                <w:lang w:val="en-US"/>
              </w:rPr>
              <w:t>Assets earmarked for medical aid liabilities</w:t>
            </w:r>
          </w:p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Listed investments</w:t>
            </w:r>
          </w:p>
        </w:tc>
      </w:tr>
      <w:tr w:rsidR="007F32FC" w:rsidRPr="00337DAC" w:rsidTr="003F05A7">
        <w:tc>
          <w:tcPr>
            <w:tcW w:w="3271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559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418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Bank 2017</w:t>
            </w:r>
          </w:p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369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Bank 2016</w:t>
            </w:r>
          </w:p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7F32FC" w:rsidRPr="00337DAC" w:rsidTr="003F05A7">
        <w:tc>
          <w:tcPr>
            <w:tcW w:w="3271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Local equity</w:t>
            </w:r>
          </w:p>
        </w:tc>
        <w:tc>
          <w:tcPr>
            <w:tcW w:w="1402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242 749</w:t>
            </w:r>
          </w:p>
        </w:tc>
        <w:tc>
          <w:tcPr>
            <w:tcW w:w="1559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230 734</w:t>
            </w:r>
          </w:p>
        </w:tc>
        <w:tc>
          <w:tcPr>
            <w:tcW w:w="1418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242 749</w:t>
            </w:r>
          </w:p>
        </w:tc>
        <w:tc>
          <w:tcPr>
            <w:tcW w:w="1369" w:type="dxa"/>
          </w:tcPr>
          <w:p w:rsidR="007F32FC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230 734</w:t>
            </w:r>
          </w:p>
        </w:tc>
      </w:tr>
      <w:tr w:rsidR="007F32FC" w:rsidRPr="00337DAC" w:rsidTr="003F05A7">
        <w:tc>
          <w:tcPr>
            <w:tcW w:w="3271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Local bonds</w:t>
            </w:r>
          </w:p>
        </w:tc>
        <w:tc>
          <w:tcPr>
            <w:tcW w:w="1402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53 187</w:t>
            </w:r>
          </w:p>
        </w:tc>
        <w:tc>
          <w:tcPr>
            <w:tcW w:w="1559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33 594</w:t>
            </w:r>
          </w:p>
        </w:tc>
        <w:tc>
          <w:tcPr>
            <w:tcW w:w="1418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53 187</w:t>
            </w:r>
          </w:p>
        </w:tc>
        <w:tc>
          <w:tcPr>
            <w:tcW w:w="1369" w:type="dxa"/>
          </w:tcPr>
          <w:p w:rsidR="007F32FC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33 594</w:t>
            </w:r>
          </w:p>
        </w:tc>
      </w:tr>
      <w:tr w:rsidR="007F32FC" w:rsidRPr="00337DAC" w:rsidTr="003F05A7">
        <w:tc>
          <w:tcPr>
            <w:tcW w:w="3271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Foreign equity</w:t>
            </w:r>
          </w:p>
        </w:tc>
        <w:tc>
          <w:tcPr>
            <w:tcW w:w="1402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49 582</w:t>
            </w:r>
          </w:p>
        </w:tc>
        <w:tc>
          <w:tcPr>
            <w:tcW w:w="1559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63 794</w:t>
            </w:r>
          </w:p>
        </w:tc>
        <w:tc>
          <w:tcPr>
            <w:tcW w:w="1418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49 582</w:t>
            </w:r>
          </w:p>
        </w:tc>
        <w:tc>
          <w:tcPr>
            <w:tcW w:w="1369" w:type="dxa"/>
          </w:tcPr>
          <w:p w:rsidR="007F32FC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63 794</w:t>
            </w:r>
          </w:p>
        </w:tc>
      </w:tr>
      <w:tr w:rsidR="007F32FC" w:rsidRPr="00337DAC" w:rsidTr="003F05A7">
        <w:tc>
          <w:tcPr>
            <w:tcW w:w="3271" w:type="dxa"/>
          </w:tcPr>
          <w:p w:rsidR="007F32FC" w:rsidRPr="00337DAC" w:rsidRDefault="007F32F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02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345 518</w:t>
            </w:r>
          </w:p>
        </w:tc>
        <w:tc>
          <w:tcPr>
            <w:tcW w:w="1559" w:type="dxa"/>
          </w:tcPr>
          <w:p w:rsidR="007F32FC" w:rsidRPr="00337DAC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328 122</w:t>
            </w:r>
          </w:p>
        </w:tc>
        <w:tc>
          <w:tcPr>
            <w:tcW w:w="1418" w:type="dxa"/>
          </w:tcPr>
          <w:p w:rsidR="007F32FC" w:rsidRPr="008A1D6E" w:rsidRDefault="007F32F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1D6E">
              <w:rPr>
                <w:rFonts w:ascii="Arial" w:hAnsi="Arial" w:cs="Arial"/>
                <w:b/>
                <w:sz w:val="22"/>
                <w:szCs w:val="22"/>
                <w:lang w:val="en-US"/>
              </w:rPr>
              <w:t>345 518</w:t>
            </w:r>
          </w:p>
        </w:tc>
        <w:tc>
          <w:tcPr>
            <w:tcW w:w="1369" w:type="dxa"/>
          </w:tcPr>
          <w:p w:rsidR="007F32FC" w:rsidRPr="008A1D6E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A1D6E">
              <w:rPr>
                <w:rFonts w:ascii="Arial" w:hAnsi="Arial" w:cs="Arial"/>
                <w:b/>
                <w:sz w:val="22"/>
                <w:szCs w:val="22"/>
                <w:lang w:val="en-US"/>
              </w:rPr>
              <w:t>328 122</w:t>
            </w:r>
          </w:p>
        </w:tc>
      </w:tr>
    </w:tbl>
    <w:p w:rsidR="007F32FC" w:rsidRDefault="007F32FC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A1D6E" w:rsidRPr="008A1D6E" w:rsidRDefault="008A1D6E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="GillSansMT" w:hAnsi="Arial" w:cs="Arial"/>
          <w:sz w:val="22"/>
          <w:szCs w:val="22"/>
          <w:lang w:val="en-ZA" w:eastAsia="en-ZA"/>
        </w:rPr>
        <w:t>The assets earmarked for medical aid liabilities are</w:t>
      </w:r>
      <w:r w:rsidRPr="008A1D6E">
        <w:rPr>
          <w:rFonts w:ascii="Arial" w:eastAsia="GillSansMT" w:hAnsi="Arial" w:cs="Arial"/>
          <w:sz w:val="22"/>
          <w:szCs w:val="22"/>
          <w:lang w:val="en-ZA" w:eastAsia="en-ZA"/>
        </w:rPr>
        <w:t xml:space="preserve"> </w:t>
      </w:r>
      <w:r>
        <w:rPr>
          <w:rFonts w:ascii="Arial" w:eastAsia="GillSansMT" w:hAnsi="Arial" w:cs="Arial"/>
          <w:sz w:val="22"/>
          <w:szCs w:val="22"/>
          <w:lang w:val="en-ZA" w:eastAsia="en-ZA"/>
        </w:rPr>
        <w:t>managed through a mandate by</w:t>
      </w:r>
      <w:r w:rsidRPr="008A1D6E">
        <w:rPr>
          <w:rFonts w:ascii="Arial" w:eastAsia="GillSansMT" w:hAnsi="Arial" w:cs="Arial"/>
          <w:sz w:val="22"/>
          <w:szCs w:val="22"/>
          <w:lang w:val="en-ZA" w:eastAsia="en-ZA"/>
        </w:rPr>
        <w:t xml:space="preserve"> Coronation Asset Managers.</w:t>
      </w:r>
    </w:p>
    <w:p w:rsidR="008A1D6E" w:rsidRPr="005D719B" w:rsidRDefault="008A1D6E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DF2CFD" w:rsidRPr="005D719B" w:rsidRDefault="00FD71F8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D719B">
        <w:rPr>
          <w:rFonts w:ascii="Arial" w:hAnsi="Arial" w:cs="Arial"/>
          <w:sz w:val="22"/>
          <w:szCs w:val="22"/>
          <w:lang w:val="en-US"/>
        </w:rPr>
        <w:t>(</w:t>
      </w:r>
      <w:proofErr w:type="gramStart"/>
      <w:r w:rsidRPr="005D719B">
        <w:rPr>
          <w:rFonts w:ascii="Arial" w:hAnsi="Arial" w:cs="Arial"/>
          <w:sz w:val="22"/>
          <w:szCs w:val="22"/>
          <w:lang w:val="en-US"/>
        </w:rPr>
        <w:t>bb</w:t>
      </w:r>
      <w:proofErr w:type="gramEnd"/>
      <w:r w:rsidRPr="005D719B">
        <w:rPr>
          <w:rFonts w:ascii="Arial" w:hAnsi="Arial" w:cs="Arial"/>
          <w:sz w:val="22"/>
          <w:szCs w:val="22"/>
          <w:lang w:val="en-US"/>
        </w:rPr>
        <w:t>)</w:t>
      </w:r>
      <w:r w:rsidR="00740F25">
        <w:rPr>
          <w:rFonts w:ascii="Arial" w:hAnsi="Arial" w:cs="Arial"/>
          <w:sz w:val="22"/>
          <w:szCs w:val="22"/>
          <w:lang w:val="en-US"/>
        </w:rPr>
        <w:tab/>
      </w:r>
      <w:r w:rsidR="00740F25">
        <w:rPr>
          <w:rFonts w:ascii="Arial" w:hAnsi="Arial" w:cs="Arial"/>
          <w:sz w:val="22"/>
          <w:szCs w:val="22"/>
          <w:lang w:val="en-US"/>
        </w:rPr>
        <w:tab/>
        <w:t>Unlisted investments:</w:t>
      </w:r>
    </w:p>
    <w:p w:rsidR="00C33CC9" w:rsidRPr="005D719B" w:rsidRDefault="00337DAC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aaa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) </w:t>
      </w:r>
      <w:r w:rsidR="00740F25">
        <w:rPr>
          <w:rFonts w:ascii="Arial" w:hAnsi="Arial" w:cs="Arial"/>
          <w:sz w:val="22"/>
          <w:szCs w:val="22"/>
          <w:lang w:val="en-US"/>
        </w:rPr>
        <w:tab/>
        <w:t>Held directly:</w:t>
      </w:r>
    </w:p>
    <w:p w:rsidR="00FD71F8" w:rsidRPr="005D719B" w:rsidRDefault="00FD71F8" w:rsidP="00C417A3">
      <w:pPr>
        <w:tabs>
          <w:tab w:val="left" w:pos="432"/>
          <w:tab w:val="left" w:pos="864"/>
        </w:tabs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369"/>
      </w:tblGrid>
      <w:tr w:rsidR="0053403E" w:rsidRPr="005D719B" w:rsidTr="002865AC">
        <w:tc>
          <w:tcPr>
            <w:tcW w:w="9019" w:type="dxa"/>
            <w:gridSpan w:val="5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b/>
                <w:sz w:val="22"/>
                <w:szCs w:val="22"/>
                <w:lang w:val="en-US"/>
              </w:rPr>
              <w:t>Unlisted investments (2)</w:t>
            </w:r>
          </w:p>
        </w:tc>
      </w:tr>
      <w:tr w:rsidR="0053403E" w:rsidRPr="005D719B" w:rsidTr="0053403E">
        <w:tc>
          <w:tcPr>
            <w:tcW w:w="3256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559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418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Bank 2017</w:t>
            </w:r>
          </w:p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369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Bank 2016</w:t>
            </w:r>
          </w:p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53403E" w:rsidRPr="005D719B" w:rsidTr="0053403E">
        <w:trPr>
          <w:trHeight w:val="341"/>
        </w:trPr>
        <w:tc>
          <w:tcPr>
            <w:tcW w:w="3256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Capespan</w:t>
            </w:r>
            <w:proofErr w:type="spellEnd"/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 Capital (Pty) Ltd</w:t>
            </w:r>
          </w:p>
        </w:tc>
        <w:tc>
          <w:tcPr>
            <w:tcW w:w="1417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1 288</w:t>
            </w:r>
          </w:p>
        </w:tc>
        <w:tc>
          <w:tcPr>
            <w:tcW w:w="155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849</w:t>
            </w:r>
          </w:p>
        </w:tc>
        <w:tc>
          <w:tcPr>
            <w:tcW w:w="1418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1 288</w:t>
            </w:r>
          </w:p>
        </w:tc>
        <w:tc>
          <w:tcPr>
            <w:tcW w:w="136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849</w:t>
            </w:r>
          </w:p>
        </w:tc>
      </w:tr>
      <w:tr w:rsidR="0053403E" w:rsidRPr="005D719B" w:rsidTr="0053403E">
        <w:trPr>
          <w:trHeight w:val="341"/>
        </w:trPr>
        <w:tc>
          <w:tcPr>
            <w:tcW w:w="3256" w:type="dxa"/>
          </w:tcPr>
          <w:p w:rsidR="0053403E" w:rsidRPr="005D719B" w:rsidRDefault="0053403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Acorn </w:t>
            </w:r>
            <w:proofErr w:type="spellStart"/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Agri</w:t>
            </w:r>
            <w:proofErr w:type="spellEnd"/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 xml:space="preserve"> (Pty) Ltd</w:t>
            </w:r>
          </w:p>
        </w:tc>
        <w:tc>
          <w:tcPr>
            <w:tcW w:w="1417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75 000</w:t>
            </w:r>
          </w:p>
        </w:tc>
        <w:tc>
          <w:tcPr>
            <w:tcW w:w="155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75 000</w:t>
            </w:r>
          </w:p>
        </w:tc>
        <w:tc>
          <w:tcPr>
            <w:tcW w:w="136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</w:tr>
      <w:tr w:rsidR="0053403E" w:rsidRPr="005D719B" w:rsidTr="0053403E">
        <w:trPr>
          <w:trHeight w:val="341"/>
        </w:trPr>
        <w:tc>
          <w:tcPr>
            <w:tcW w:w="3256" w:type="dxa"/>
          </w:tcPr>
          <w:p w:rsidR="0053403E" w:rsidRPr="005D719B" w:rsidRDefault="00C33CC9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17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76 288</w:t>
            </w:r>
          </w:p>
        </w:tc>
        <w:tc>
          <w:tcPr>
            <w:tcW w:w="155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849</w:t>
            </w:r>
          </w:p>
        </w:tc>
        <w:tc>
          <w:tcPr>
            <w:tcW w:w="1418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76 288</w:t>
            </w:r>
          </w:p>
        </w:tc>
        <w:tc>
          <w:tcPr>
            <w:tcW w:w="1369" w:type="dxa"/>
          </w:tcPr>
          <w:p w:rsidR="0053403E" w:rsidRPr="005D719B" w:rsidRDefault="0053403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719B">
              <w:rPr>
                <w:rFonts w:ascii="Arial" w:hAnsi="Arial" w:cs="Arial"/>
                <w:sz w:val="22"/>
                <w:szCs w:val="22"/>
                <w:lang w:val="en-US"/>
              </w:rPr>
              <w:t>849</w:t>
            </w:r>
          </w:p>
        </w:tc>
      </w:tr>
    </w:tbl>
    <w:p w:rsidR="00FD71F8" w:rsidRPr="005D719B" w:rsidRDefault="00FD71F8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402"/>
        <w:gridCol w:w="1559"/>
        <w:gridCol w:w="1418"/>
        <w:gridCol w:w="1369"/>
      </w:tblGrid>
      <w:tr w:rsidR="00DF2CFD" w:rsidRPr="00337DAC" w:rsidTr="00C33CC9">
        <w:tc>
          <w:tcPr>
            <w:tcW w:w="9019" w:type="dxa"/>
            <w:gridSpan w:val="5"/>
          </w:tcPr>
          <w:p w:rsidR="00DF2CFD" w:rsidRPr="00337DAC" w:rsidRDefault="00DF2CFD" w:rsidP="005D719B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Investment</w:t>
            </w:r>
            <w:r w:rsidR="005D719B"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s in Land Bank 100% owned subsidiaries</w:t>
            </w:r>
          </w:p>
        </w:tc>
      </w:tr>
      <w:tr w:rsidR="00DF2CFD" w:rsidRPr="00337DAC" w:rsidTr="00C33CC9">
        <w:tc>
          <w:tcPr>
            <w:tcW w:w="3271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559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418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Bank 2017</w:t>
            </w:r>
          </w:p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1369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Bank 2016</w:t>
            </w:r>
          </w:p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DF2CFD" w:rsidRPr="00337DAC" w:rsidTr="00C33CC9">
        <w:tc>
          <w:tcPr>
            <w:tcW w:w="3271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Land Bank Life Insurance Company (Life Insurer)</w:t>
            </w:r>
          </w:p>
        </w:tc>
        <w:tc>
          <w:tcPr>
            <w:tcW w:w="1402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369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</w:tr>
      <w:tr w:rsidR="00DF2CFD" w:rsidRPr="00337DAC" w:rsidTr="00C33CC9">
        <w:tc>
          <w:tcPr>
            <w:tcW w:w="3271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Land Bank Insurance Company (Short term Insurer)</w:t>
            </w:r>
          </w:p>
        </w:tc>
        <w:tc>
          <w:tcPr>
            <w:tcW w:w="1402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350 000</w:t>
            </w:r>
          </w:p>
        </w:tc>
        <w:tc>
          <w:tcPr>
            <w:tcW w:w="1369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200 000</w:t>
            </w:r>
          </w:p>
        </w:tc>
      </w:tr>
      <w:tr w:rsidR="00DF2CFD" w:rsidRPr="00337DAC" w:rsidTr="00C33CC9">
        <w:tc>
          <w:tcPr>
            <w:tcW w:w="3271" w:type="dxa"/>
          </w:tcPr>
          <w:p w:rsidR="00DF2CFD" w:rsidRPr="00337DAC" w:rsidRDefault="00DF2CFD" w:rsidP="0081193D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02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DF2CFD" w:rsidRPr="00337DAC" w:rsidRDefault="00C33CC9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350 030</w:t>
            </w:r>
          </w:p>
        </w:tc>
        <w:tc>
          <w:tcPr>
            <w:tcW w:w="1369" w:type="dxa"/>
          </w:tcPr>
          <w:p w:rsidR="00DF2CFD" w:rsidRPr="00337DAC" w:rsidRDefault="00DF2CFD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200 030</w:t>
            </w:r>
          </w:p>
        </w:tc>
      </w:tr>
    </w:tbl>
    <w:p w:rsidR="008A1D6E" w:rsidRDefault="008A1D6E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7C4F5D" w:rsidRDefault="00337DAC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337DAC">
        <w:rPr>
          <w:rFonts w:ascii="Arial" w:hAnsi="Arial" w:cs="Arial"/>
          <w:sz w:val="22"/>
          <w:szCs w:val="22"/>
          <w:lang w:val="en-US"/>
        </w:rPr>
        <w:t>bbb</w:t>
      </w:r>
      <w:proofErr w:type="spellEnd"/>
      <w:proofErr w:type="gramEnd"/>
      <w:r w:rsidRPr="00337DAC">
        <w:rPr>
          <w:rFonts w:ascii="Arial" w:hAnsi="Arial" w:cs="Arial"/>
          <w:sz w:val="22"/>
          <w:szCs w:val="22"/>
          <w:lang w:val="en-US"/>
        </w:rPr>
        <w:t>)</w:t>
      </w:r>
      <w:r w:rsidR="00740F25">
        <w:rPr>
          <w:rFonts w:ascii="Arial" w:hAnsi="Arial" w:cs="Arial"/>
          <w:sz w:val="22"/>
          <w:szCs w:val="22"/>
          <w:lang w:val="en-US"/>
        </w:rPr>
        <w:tab/>
        <w:t>Held indirectly:</w:t>
      </w:r>
    </w:p>
    <w:p w:rsidR="00337DAC" w:rsidRDefault="00337DAC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1"/>
        <w:gridCol w:w="1402"/>
        <w:gridCol w:w="1559"/>
        <w:gridCol w:w="1418"/>
        <w:gridCol w:w="1369"/>
      </w:tblGrid>
      <w:tr w:rsidR="008A1D6E" w:rsidRPr="00337DAC" w:rsidTr="003F05A7">
        <w:tc>
          <w:tcPr>
            <w:tcW w:w="9019" w:type="dxa"/>
            <w:gridSpan w:val="5"/>
          </w:tcPr>
          <w:p w:rsidR="008A1D6E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F32FC">
              <w:rPr>
                <w:rFonts w:ascii="Arial" w:hAnsi="Arial" w:cs="Arial"/>
                <w:b/>
                <w:sz w:val="22"/>
                <w:szCs w:val="22"/>
                <w:lang w:val="en-US"/>
              </w:rPr>
              <w:t>Assets earmarked for medical aid liabilities</w:t>
            </w:r>
          </w:p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Unlisted investments</w:t>
            </w:r>
          </w:p>
        </w:tc>
      </w:tr>
      <w:tr w:rsidR="008A1D6E" w:rsidRPr="00337DAC" w:rsidTr="003F05A7">
        <w:tc>
          <w:tcPr>
            <w:tcW w:w="3271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R’000</w:t>
            </w:r>
          </w:p>
        </w:tc>
        <w:tc>
          <w:tcPr>
            <w:tcW w:w="1559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Group 2016</w:t>
            </w:r>
          </w:p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R’000</w:t>
            </w:r>
          </w:p>
        </w:tc>
        <w:tc>
          <w:tcPr>
            <w:tcW w:w="1418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Bank 2017</w:t>
            </w:r>
          </w:p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R’000</w:t>
            </w:r>
          </w:p>
        </w:tc>
        <w:tc>
          <w:tcPr>
            <w:tcW w:w="1369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Bank 2016</w:t>
            </w:r>
          </w:p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R’000</w:t>
            </w:r>
          </w:p>
        </w:tc>
      </w:tr>
      <w:tr w:rsidR="008A1D6E" w:rsidRPr="00337DAC" w:rsidTr="003F05A7">
        <w:tc>
          <w:tcPr>
            <w:tcW w:w="3271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Commodities – Local ETF</w:t>
            </w:r>
          </w:p>
        </w:tc>
        <w:tc>
          <w:tcPr>
            <w:tcW w:w="1402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2 514</w:t>
            </w:r>
          </w:p>
        </w:tc>
        <w:tc>
          <w:tcPr>
            <w:tcW w:w="1559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3 563</w:t>
            </w:r>
          </w:p>
        </w:tc>
        <w:tc>
          <w:tcPr>
            <w:tcW w:w="1418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2 514</w:t>
            </w:r>
          </w:p>
        </w:tc>
        <w:tc>
          <w:tcPr>
            <w:tcW w:w="1369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3 563</w:t>
            </w:r>
          </w:p>
        </w:tc>
      </w:tr>
      <w:tr w:rsidR="008A1D6E" w:rsidRPr="00337DAC" w:rsidTr="003F05A7">
        <w:tc>
          <w:tcPr>
            <w:tcW w:w="3271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Cash – Local </w:t>
            </w:r>
          </w:p>
        </w:tc>
        <w:tc>
          <w:tcPr>
            <w:tcW w:w="1402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11 834</w:t>
            </w:r>
          </w:p>
        </w:tc>
        <w:tc>
          <w:tcPr>
            <w:tcW w:w="1559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25 272</w:t>
            </w:r>
          </w:p>
        </w:tc>
        <w:tc>
          <w:tcPr>
            <w:tcW w:w="1418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11 834</w:t>
            </w:r>
          </w:p>
        </w:tc>
        <w:tc>
          <w:tcPr>
            <w:tcW w:w="1369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25 272</w:t>
            </w:r>
          </w:p>
        </w:tc>
      </w:tr>
      <w:tr w:rsidR="008A1D6E" w:rsidRPr="00337DAC" w:rsidTr="003F05A7">
        <w:tc>
          <w:tcPr>
            <w:tcW w:w="3271" w:type="dxa"/>
          </w:tcPr>
          <w:p w:rsidR="008A1D6E" w:rsidRPr="00337DAC" w:rsidRDefault="008A1D6E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402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14 348</w:t>
            </w:r>
          </w:p>
        </w:tc>
        <w:tc>
          <w:tcPr>
            <w:tcW w:w="1559" w:type="dxa"/>
          </w:tcPr>
          <w:p w:rsidR="008A1D6E" w:rsidRPr="00337DAC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25 835</w:t>
            </w:r>
          </w:p>
        </w:tc>
        <w:tc>
          <w:tcPr>
            <w:tcW w:w="1418" w:type="dxa"/>
          </w:tcPr>
          <w:p w:rsidR="008A1D6E" w:rsidRPr="008A1D6E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14 348</w:t>
            </w:r>
          </w:p>
        </w:tc>
        <w:tc>
          <w:tcPr>
            <w:tcW w:w="1369" w:type="dxa"/>
          </w:tcPr>
          <w:p w:rsidR="008A1D6E" w:rsidRPr="008A1D6E" w:rsidRDefault="008A1D6E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28 835</w:t>
            </w:r>
          </w:p>
        </w:tc>
      </w:tr>
    </w:tbl>
    <w:p w:rsidR="008A1D6E" w:rsidRDefault="008A1D6E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A1D6E" w:rsidRDefault="008A1D6E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eastAsia="GillSansMT" w:hAnsi="Arial" w:cs="Arial"/>
          <w:sz w:val="22"/>
          <w:szCs w:val="22"/>
          <w:lang w:val="en-ZA" w:eastAsia="en-ZA"/>
        </w:rPr>
        <w:t>The assets earmarked for medical aid liabilities are</w:t>
      </w:r>
      <w:r w:rsidRPr="008A1D6E">
        <w:rPr>
          <w:rFonts w:ascii="Arial" w:eastAsia="GillSansMT" w:hAnsi="Arial" w:cs="Arial"/>
          <w:sz w:val="22"/>
          <w:szCs w:val="22"/>
          <w:lang w:val="en-ZA" w:eastAsia="en-ZA"/>
        </w:rPr>
        <w:t xml:space="preserve"> </w:t>
      </w:r>
      <w:r>
        <w:rPr>
          <w:rFonts w:ascii="Arial" w:eastAsia="GillSansMT" w:hAnsi="Arial" w:cs="Arial"/>
          <w:sz w:val="22"/>
          <w:szCs w:val="22"/>
          <w:lang w:val="en-ZA" w:eastAsia="en-ZA"/>
        </w:rPr>
        <w:t>managed through a mandate by</w:t>
      </w:r>
      <w:r w:rsidRPr="008A1D6E">
        <w:rPr>
          <w:rFonts w:ascii="Arial" w:eastAsia="GillSansMT" w:hAnsi="Arial" w:cs="Arial"/>
          <w:sz w:val="22"/>
          <w:szCs w:val="22"/>
          <w:lang w:val="en-ZA" w:eastAsia="en-ZA"/>
        </w:rPr>
        <w:t xml:space="preserve"> Coronation Asset Managers.</w:t>
      </w:r>
    </w:p>
    <w:p w:rsidR="008A1D6E" w:rsidRDefault="008A1D6E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4389" w:type="pct"/>
        <w:tblLook w:val="04A0" w:firstRow="1" w:lastRow="0" w:firstColumn="1" w:lastColumn="0" w:noHBand="0" w:noVBand="1"/>
      </w:tblPr>
      <w:tblGrid>
        <w:gridCol w:w="5533"/>
        <w:gridCol w:w="1115"/>
        <w:gridCol w:w="1467"/>
      </w:tblGrid>
      <w:tr w:rsidR="00337DAC" w:rsidRPr="00337DAC" w:rsidTr="00FD5A52">
        <w:tc>
          <w:tcPr>
            <w:tcW w:w="5000" w:type="pct"/>
            <w:gridSpan w:val="3"/>
          </w:tcPr>
          <w:p w:rsidR="00337DAC" w:rsidRPr="00337DAC" w:rsidRDefault="00337DAC" w:rsidP="00337DAC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Investments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held by subsidiaries</w:t>
            </w:r>
            <w:r w:rsidR="0095077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(LBIC)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87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2017</w:t>
            </w:r>
          </w:p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  <w:tc>
          <w:tcPr>
            <w:tcW w:w="904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Group 2016</w:t>
            </w:r>
          </w:p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R’000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Equities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412 151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474 424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Commodities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35 568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33 064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Collective investment schemes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370 893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354 568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Bonds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247 763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259 810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sz w:val="22"/>
                <w:szCs w:val="22"/>
                <w:lang w:val="en-US"/>
              </w:rPr>
              <w:t>Cash deposits and similar securities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146 564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178 045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Investment Policy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13 980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33 986</w:t>
            </w:r>
          </w:p>
        </w:tc>
      </w:tr>
      <w:tr w:rsidR="00337DAC" w:rsidRPr="00337DAC" w:rsidTr="00FD5A52">
        <w:tc>
          <w:tcPr>
            <w:tcW w:w="3409" w:type="pct"/>
          </w:tcPr>
          <w:p w:rsidR="00337DAC" w:rsidRPr="00337DAC" w:rsidRDefault="00337DAC" w:rsidP="003F05A7">
            <w:pPr>
              <w:tabs>
                <w:tab w:val="left" w:pos="432"/>
                <w:tab w:val="left" w:pos="864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7DAC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687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1 226 920</w:t>
            </w:r>
          </w:p>
        </w:tc>
        <w:tc>
          <w:tcPr>
            <w:tcW w:w="904" w:type="pct"/>
          </w:tcPr>
          <w:p w:rsidR="00337DAC" w:rsidRPr="00337DAC" w:rsidRDefault="00337DAC" w:rsidP="00740F25">
            <w:pPr>
              <w:tabs>
                <w:tab w:val="left" w:pos="432"/>
                <w:tab w:val="left" w:pos="864"/>
              </w:tabs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1 333 897</w:t>
            </w:r>
          </w:p>
        </w:tc>
      </w:tr>
    </w:tbl>
    <w:p w:rsidR="00337DAC" w:rsidRDefault="00337DAC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37DAC" w:rsidRPr="00337DAC" w:rsidRDefault="0095077A" w:rsidP="00337DAC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above listed</w:t>
      </w:r>
      <w:r w:rsidR="00337DAC" w:rsidRPr="00337DAC">
        <w:rPr>
          <w:rFonts w:ascii="Arial" w:hAnsi="Arial" w:cs="Arial"/>
          <w:sz w:val="22"/>
          <w:szCs w:val="22"/>
          <w:lang w:val="en-US"/>
        </w:rPr>
        <w:t xml:space="preserve"> investments </w:t>
      </w:r>
      <w:r w:rsidR="008A1D6E">
        <w:rPr>
          <w:rFonts w:ascii="Arial" w:hAnsi="Arial" w:cs="Arial"/>
          <w:sz w:val="22"/>
          <w:szCs w:val="22"/>
          <w:lang w:val="en-US"/>
        </w:rPr>
        <w:t xml:space="preserve">held by subsidiaries </w:t>
      </w:r>
      <w:r>
        <w:rPr>
          <w:rFonts w:ascii="Arial" w:hAnsi="Arial" w:cs="Arial"/>
          <w:sz w:val="22"/>
          <w:szCs w:val="22"/>
          <w:lang w:val="en-US"/>
        </w:rPr>
        <w:t>are managed through mandates b</w:t>
      </w:r>
      <w:r w:rsidR="00337DAC" w:rsidRPr="00337DAC">
        <w:rPr>
          <w:rFonts w:ascii="Arial" w:hAnsi="Arial" w:cs="Arial"/>
          <w:sz w:val="22"/>
          <w:szCs w:val="22"/>
          <w:lang w:val="en-US"/>
        </w:rPr>
        <w:t>y with the following Asset Managers:</w:t>
      </w:r>
    </w:p>
    <w:p w:rsidR="00337DAC" w:rsidRPr="00337DAC" w:rsidRDefault="00337DAC" w:rsidP="00337DAC">
      <w:pPr>
        <w:pStyle w:val="ListParagraph"/>
        <w:numPr>
          <w:ilvl w:val="0"/>
          <w:numId w:val="31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Coronation Fund Managers Limited</w:t>
      </w:r>
    </w:p>
    <w:p w:rsidR="00337DAC" w:rsidRPr="00337DAC" w:rsidRDefault="00337DAC" w:rsidP="00337DAC">
      <w:pPr>
        <w:pStyle w:val="ListParagraph"/>
        <w:numPr>
          <w:ilvl w:val="0"/>
          <w:numId w:val="31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Momentum Asset Management</w:t>
      </w:r>
    </w:p>
    <w:p w:rsidR="00337DAC" w:rsidRPr="00337DAC" w:rsidRDefault="00337DAC" w:rsidP="00337DAC">
      <w:pPr>
        <w:pStyle w:val="ListParagraph"/>
        <w:numPr>
          <w:ilvl w:val="0"/>
          <w:numId w:val="31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Argon Asset Management</w:t>
      </w:r>
    </w:p>
    <w:p w:rsidR="00337DAC" w:rsidRPr="00337DAC" w:rsidRDefault="00337DAC" w:rsidP="00337DAC">
      <w:pPr>
        <w:pStyle w:val="ListParagraph"/>
        <w:numPr>
          <w:ilvl w:val="0"/>
          <w:numId w:val="31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Investec Asset Management</w:t>
      </w:r>
    </w:p>
    <w:p w:rsidR="00337DAC" w:rsidRPr="00337DAC" w:rsidRDefault="00337DAC" w:rsidP="00337DAC">
      <w:pPr>
        <w:pStyle w:val="ListParagraph"/>
        <w:numPr>
          <w:ilvl w:val="0"/>
          <w:numId w:val="31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37DAC">
        <w:rPr>
          <w:rFonts w:ascii="Arial" w:hAnsi="Arial" w:cs="Arial"/>
          <w:sz w:val="22"/>
          <w:szCs w:val="22"/>
          <w:lang w:val="en-US"/>
        </w:rPr>
        <w:t>Old Mutual Investment Group (South Africa) (Pty) Ltd Group</w:t>
      </w:r>
    </w:p>
    <w:p w:rsidR="00DF2CFD" w:rsidRDefault="00DF2CFD" w:rsidP="0081193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766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6693F" w:rsidRDefault="0076693F" w:rsidP="00766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DBSA RESPONSE: </w:t>
      </w:r>
    </w:p>
    <w:p w:rsidR="0076693F" w:rsidRPr="004054C3" w:rsidRDefault="0076693F" w:rsidP="0076693F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dTable4Accent4"/>
        <w:tblW w:w="9540" w:type="dxa"/>
        <w:tblInd w:w="108" w:type="dxa"/>
        <w:tblLook w:val="04A0" w:firstRow="1" w:lastRow="0" w:firstColumn="1" w:lastColumn="0" w:noHBand="0" w:noVBand="1"/>
      </w:tblPr>
      <w:tblGrid>
        <w:gridCol w:w="4927"/>
        <w:gridCol w:w="4613"/>
      </w:tblGrid>
      <w:tr w:rsidR="0076693F" w:rsidRPr="00486067" w:rsidTr="00766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2. Equity Investment YE 2016/2017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76693F">
            <w:pPr>
              <w:ind w:lef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Unlisted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Beyond 12 months</w:t>
            </w:r>
          </w:p>
        </w:tc>
      </w:tr>
      <w:tr w:rsidR="0076693F" w:rsidRPr="00486067" w:rsidTr="007669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Direct Investments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Ohorongo</w:t>
            </w:r>
            <w:proofErr w:type="spellEnd"/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81 313 764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Proparco</w:t>
            </w:r>
            <w:proofErr w:type="spellEnd"/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452 956 708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The Currency Exchange Fund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578 411 113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Indirect Investments - </w:t>
            </w: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Private Equity Investments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African Agriculture Fund (</w:t>
            </w: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Phatisa</w:t>
            </w:r>
            <w:proofErr w:type="spellEnd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)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176 917 010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AgrieVie</w:t>
            </w:r>
            <w:proofErr w:type="spellEnd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 (Strategy Partners)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152 856 925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African Health Fund (</w:t>
            </w: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Aureos</w:t>
            </w:r>
            <w:proofErr w:type="spellEnd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)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243 667 465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African Infrastructure Investment Fund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394 847 707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lastRenderedPageBreak/>
              <w:t>Convergence Partners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82 385 417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Emerging Capital Partners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615 555 323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Ethos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HIFSA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1 867 607 518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International Housing Solutions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190 242 204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Medu</w:t>
            </w:r>
            <w:proofErr w:type="spellEnd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 xml:space="preserve"> Capital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18 699 500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PAIDF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882 236 100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PAIDF 2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21 936 838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PAIP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Shanduka</w:t>
            </w:r>
            <w:proofErr w:type="spellEnd"/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proofErr w:type="spellStart"/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Trinitas</w:t>
            </w:r>
            <w:proofErr w:type="spellEnd"/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76 847 532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 w:val="0"/>
                <w:color w:val="000000"/>
                <w:lang w:eastAsia="en-GB"/>
              </w:rPr>
              <w:t>Vantage Capital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136 027 906</w:t>
            </w:r>
          </w:p>
        </w:tc>
      </w:tr>
      <w:tr w:rsidR="0076693F" w:rsidRPr="00FA3D91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</w:tcPr>
          <w:p w:rsidR="0076693F" w:rsidRPr="00FA3D91" w:rsidRDefault="0076693F" w:rsidP="00221824">
            <w:pPr>
              <w:rPr>
                <w:rFonts w:ascii="Arial" w:hAnsi="Arial" w:cs="Arial"/>
                <w:b w:val="0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lang w:eastAsia="en-GB"/>
              </w:rPr>
              <w:t>Frandevco</w:t>
            </w:r>
            <w:proofErr w:type="spellEnd"/>
          </w:p>
        </w:tc>
        <w:tc>
          <w:tcPr>
            <w:tcW w:w="4613" w:type="dxa"/>
            <w:noWrap/>
          </w:tcPr>
          <w:p w:rsidR="0076693F" w:rsidRPr="00FA3D91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7366D6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</w:tcPr>
          <w:p w:rsidR="0076693F" w:rsidRPr="007366D6" w:rsidRDefault="0076693F" w:rsidP="00221824">
            <w:pPr>
              <w:rPr>
                <w:rFonts w:ascii="Arial" w:hAnsi="Arial" w:cs="Arial"/>
                <w:b w:val="0"/>
                <w:color w:val="000000"/>
                <w:lang w:eastAsia="en-GB"/>
              </w:rPr>
            </w:pPr>
            <w:r>
              <w:rPr>
                <w:rFonts w:ascii="Arial" w:hAnsi="Arial" w:cs="Arial"/>
                <w:b w:val="0"/>
                <w:color w:val="000000"/>
                <w:lang w:eastAsia="en-GB"/>
              </w:rPr>
              <w:t>One and only Cape Town Holdings</w:t>
            </w:r>
          </w:p>
        </w:tc>
        <w:tc>
          <w:tcPr>
            <w:tcW w:w="4613" w:type="dxa"/>
            <w:noWrap/>
          </w:tcPr>
          <w:p w:rsidR="0076693F" w:rsidRPr="007366D6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486067" w:rsidTr="0076693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</w:tcPr>
          <w:p w:rsidR="0076693F" w:rsidRPr="007366D6" w:rsidRDefault="0076693F" w:rsidP="00221824">
            <w:pPr>
              <w:rPr>
                <w:rFonts w:ascii="Arial" w:hAnsi="Arial" w:cs="Arial"/>
                <w:b w:val="0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b w:val="0"/>
                <w:color w:val="000000"/>
                <w:lang w:eastAsia="en-GB"/>
              </w:rPr>
              <w:t>StarS</w:t>
            </w:r>
            <w:r w:rsidRPr="007366D6">
              <w:rPr>
                <w:rFonts w:ascii="Arial" w:hAnsi="Arial" w:cs="Arial"/>
                <w:b w:val="0"/>
                <w:color w:val="000000"/>
                <w:lang w:eastAsia="en-GB"/>
              </w:rPr>
              <w:t>at</w:t>
            </w:r>
            <w:proofErr w:type="spellEnd"/>
          </w:p>
        </w:tc>
        <w:tc>
          <w:tcPr>
            <w:tcW w:w="4613" w:type="dxa"/>
            <w:noWrap/>
          </w:tcPr>
          <w:p w:rsidR="0076693F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486067" w:rsidTr="0076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</w:tcPr>
          <w:p w:rsidR="0076693F" w:rsidRPr="00C00BC8" w:rsidRDefault="0076693F" w:rsidP="00221824">
            <w:pPr>
              <w:rPr>
                <w:rFonts w:ascii="Arial" w:hAnsi="Arial" w:cs="Arial"/>
                <w:b w:val="0"/>
                <w:color w:val="000000"/>
                <w:lang w:eastAsia="en-GB"/>
              </w:rPr>
            </w:pPr>
            <w:r w:rsidRPr="00C00BC8">
              <w:rPr>
                <w:rFonts w:ascii="Arial" w:hAnsi="Arial" w:cs="Arial"/>
                <w:b w:val="0"/>
                <w:color w:val="000000"/>
                <w:lang w:eastAsia="en-GB"/>
              </w:rPr>
              <w:t>Development Bank of Zambia</w:t>
            </w:r>
          </w:p>
        </w:tc>
        <w:tc>
          <w:tcPr>
            <w:tcW w:w="4613" w:type="dxa"/>
            <w:noWrap/>
          </w:tcPr>
          <w:p w:rsidR="0076693F" w:rsidRPr="00486067" w:rsidRDefault="0076693F" w:rsidP="0022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</w:t>
            </w:r>
          </w:p>
        </w:tc>
      </w:tr>
      <w:tr w:rsidR="0076693F" w:rsidRPr="00486067" w:rsidTr="007669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noWrap/>
            <w:hideMark/>
          </w:tcPr>
          <w:p w:rsidR="0076693F" w:rsidRPr="00486067" w:rsidRDefault="0076693F" w:rsidP="0022182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color w:val="000000"/>
                <w:lang w:eastAsia="en-GB"/>
              </w:rPr>
              <w:t>Total equity investments</w:t>
            </w:r>
          </w:p>
        </w:tc>
        <w:tc>
          <w:tcPr>
            <w:tcW w:w="4613" w:type="dxa"/>
            <w:noWrap/>
            <w:hideMark/>
          </w:tcPr>
          <w:p w:rsidR="0076693F" w:rsidRPr="00486067" w:rsidRDefault="0076693F" w:rsidP="0022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606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5 972 509 032</w:t>
            </w:r>
          </w:p>
        </w:tc>
      </w:tr>
    </w:tbl>
    <w:p w:rsidR="00FD5A52" w:rsidRDefault="00FD5A52" w:rsidP="00FD5A52">
      <w:pPr>
        <w:tabs>
          <w:tab w:val="left" w:pos="432"/>
          <w:tab w:val="left" w:pos="864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FD5A52" w:rsidSect="0076693F">
      <w:pgSz w:w="11909" w:h="16834" w:code="9"/>
      <w:pgMar w:top="1440" w:right="1440" w:bottom="81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EBB"/>
    <w:multiLevelType w:val="hybridMultilevel"/>
    <w:tmpl w:val="689E0D1A"/>
    <w:lvl w:ilvl="0" w:tplc="7E88C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AFD"/>
    <w:multiLevelType w:val="hybridMultilevel"/>
    <w:tmpl w:val="B8F8AB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F60C2"/>
    <w:multiLevelType w:val="hybridMultilevel"/>
    <w:tmpl w:val="A282BE0A"/>
    <w:lvl w:ilvl="0" w:tplc="DD245664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1F66AD"/>
    <w:multiLevelType w:val="hybridMultilevel"/>
    <w:tmpl w:val="4BCEA44E"/>
    <w:lvl w:ilvl="0" w:tplc="0EA891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55E6E"/>
    <w:multiLevelType w:val="hybridMultilevel"/>
    <w:tmpl w:val="36AE3CE0"/>
    <w:lvl w:ilvl="0" w:tplc="9718EB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303CF"/>
    <w:multiLevelType w:val="hybridMultilevel"/>
    <w:tmpl w:val="6040CCA0"/>
    <w:lvl w:ilvl="0" w:tplc="E43089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E439BE"/>
    <w:multiLevelType w:val="hybridMultilevel"/>
    <w:tmpl w:val="8CEE203E"/>
    <w:lvl w:ilvl="0" w:tplc="761479C8">
      <w:start w:val="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02684"/>
    <w:multiLevelType w:val="hybridMultilevel"/>
    <w:tmpl w:val="927637B2"/>
    <w:lvl w:ilvl="0" w:tplc="0FA22E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86157"/>
    <w:multiLevelType w:val="hybridMultilevel"/>
    <w:tmpl w:val="7E68EC7A"/>
    <w:lvl w:ilvl="0" w:tplc="BB728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7751C"/>
    <w:multiLevelType w:val="hybridMultilevel"/>
    <w:tmpl w:val="0BFCFDD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A2009"/>
    <w:multiLevelType w:val="hybridMultilevel"/>
    <w:tmpl w:val="A1DC1E86"/>
    <w:lvl w:ilvl="0" w:tplc="F95CE5C0">
      <w:start w:val="64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C654B"/>
    <w:multiLevelType w:val="hybridMultilevel"/>
    <w:tmpl w:val="9BD487B2"/>
    <w:lvl w:ilvl="0" w:tplc="AB28B104">
      <w:start w:val="5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B3124"/>
    <w:multiLevelType w:val="hybridMultilevel"/>
    <w:tmpl w:val="64A0BF46"/>
    <w:lvl w:ilvl="0" w:tplc="9FE21FF6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24"/>
  </w:num>
  <w:num w:numId="5">
    <w:abstractNumId w:val="25"/>
  </w:num>
  <w:num w:numId="6">
    <w:abstractNumId w:val="8"/>
  </w:num>
  <w:num w:numId="7">
    <w:abstractNumId w:val="33"/>
  </w:num>
  <w:num w:numId="8">
    <w:abstractNumId w:val="3"/>
  </w:num>
  <w:num w:numId="9">
    <w:abstractNumId w:val="5"/>
  </w:num>
  <w:num w:numId="10">
    <w:abstractNumId w:val="1"/>
  </w:num>
  <w:num w:numId="11">
    <w:abstractNumId w:val="31"/>
  </w:num>
  <w:num w:numId="12">
    <w:abstractNumId w:val="28"/>
  </w:num>
  <w:num w:numId="13">
    <w:abstractNumId w:val="13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32"/>
  </w:num>
  <w:num w:numId="23">
    <w:abstractNumId w:val="16"/>
  </w:num>
  <w:num w:numId="24">
    <w:abstractNumId w:val="7"/>
  </w:num>
  <w:num w:numId="25">
    <w:abstractNumId w:val="20"/>
  </w:num>
  <w:num w:numId="26">
    <w:abstractNumId w:val="12"/>
  </w:num>
  <w:num w:numId="27">
    <w:abstractNumId w:val="10"/>
  </w:num>
  <w:num w:numId="28">
    <w:abstractNumId w:val="14"/>
  </w:num>
  <w:num w:numId="29">
    <w:abstractNumId w:val="0"/>
  </w:num>
  <w:num w:numId="30">
    <w:abstractNumId w:val="30"/>
  </w:num>
  <w:num w:numId="31">
    <w:abstractNumId w:val="23"/>
  </w:num>
  <w:num w:numId="32">
    <w:abstractNumId w:val="21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63BEC"/>
    <w:rsid w:val="000652CF"/>
    <w:rsid w:val="000762BF"/>
    <w:rsid w:val="00077EEC"/>
    <w:rsid w:val="00095AB2"/>
    <w:rsid w:val="000A0468"/>
    <w:rsid w:val="000A600A"/>
    <w:rsid w:val="000A6822"/>
    <w:rsid w:val="000B0B7B"/>
    <w:rsid w:val="000F066D"/>
    <w:rsid w:val="001025FE"/>
    <w:rsid w:val="00104D29"/>
    <w:rsid w:val="001131D9"/>
    <w:rsid w:val="00120022"/>
    <w:rsid w:val="001433AE"/>
    <w:rsid w:val="00152E82"/>
    <w:rsid w:val="00166953"/>
    <w:rsid w:val="00175842"/>
    <w:rsid w:val="001837AD"/>
    <w:rsid w:val="001C51A3"/>
    <w:rsid w:val="001E6902"/>
    <w:rsid w:val="001F1163"/>
    <w:rsid w:val="001F223B"/>
    <w:rsid w:val="0021081B"/>
    <w:rsid w:val="00216C1E"/>
    <w:rsid w:val="00232604"/>
    <w:rsid w:val="00247658"/>
    <w:rsid w:val="00252C87"/>
    <w:rsid w:val="002549F9"/>
    <w:rsid w:val="00257D88"/>
    <w:rsid w:val="002722CF"/>
    <w:rsid w:val="002F5E69"/>
    <w:rsid w:val="00303310"/>
    <w:rsid w:val="00310C5A"/>
    <w:rsid w:val="00323CC8"/>
    <w:rsid w:val="00337DAC"/>
    <w:rsid w:val="00366412"/>
    <w:rsid w:val="003B5D8E"/>
    <w:rsid w:val="003D36F1"/>
    <w:rsid w:val="003F0AC4"/>
    <w:rsid w:val="00433463"/>
    <w:rsid w:val="0044596C"/>
    <w:rsid w:val="00476313"/>
    <w:rsid w:val="0048061D"/>
    <w:rsid w:val="004836B9"/>
    <w:rsid w:val="00487065"/>
    <w:rsid w:val="004A3B9E"/>
    <w:rsid w:val="004A5ED5"/>
    <w:rsid w:val="004A7C34"/>
    <w:rsid w:val="004B4052"/>
    <w:rsid w:val="004C5679"/>
    <w:rsid w:val="004C7422"/>
    <w:rsid w:val="004E233F"/>
    <w:rsid w:val="00501C0E"/>
    <w:rsid w:val="005141B3"/>
    <w:rsid w:val="00524983"/>
    <w:rsid w:val="00530F50"/>
    <w:rsid w:val="0053403E"/>
    <w:rsid w:val="0054111D"/>
    <w:rsid w:val="005A30FB"/>
    <w:rsid w:val="005D719B"/>
    <w:rsid w:val="00603762"/>
    <w:rsid w:val="00613FC6"/>
    <w:rsid w:val="00642A1D"/>
    <w:rsid w:val="00684AAB"/>
    <w:rsid w:val="00695A9A"/>
    <w:rsid w:val="006B1504"/>
    <w:rsid w:val="006B5828"/>
    <w:rsid w:val="00702034"/>
    <w:rsid w:val="00716D12"/>
    <w:rsid w:val="00736CFE"/>
    <w:rsid w:val="00740F25"/>
    <w:rsid w:val="0076584C"/>
    <w:rsid w:val="0076693F"/>
    <w:rsid w:val="00773E6C"/>
    <w:rsid w:val="0079063F"/>
    <w:rsid w:val="007A56A5"/>
    <w:rsid w:val="007B66A0"/>
    <w:rsid w:val="007C4F5D"/>
    <w:rsid w:val="007F32FC"/>
    <w:rsid w:val="00807F57"/>
    <w:rsid w:val="00810D64"/>
    <w:rsid w:val="0081193D"/>
    <w:rsid w:val="00814F3C"/>
    <w:rsid w:val="00823EA9"/>
    <w:rsid w:val="0087366B"/>
    <w:rsid w:val="0087557B"/>
    <w:rsid w:val="00892134"/>
    <w:rsid w:val="008A1D6E"/>
    <w:rsid w:val="008A2CCF"/>
    <w:rsid w:val="008B5B10"/>
    <w:rsid w:val="008D26AB"/>
    <w:rsid w:val="008D419D"/>
    <w:rsid w:val="008E2511"/>
    <w:rsid w:val="0091205F"/>
    <w:rsid w:val="0095077A"/>
    <w:rsid w:val="00956BFC"/>
    <w:rsid w:val="00957F87"/>
    <w:rsid w:val="0096291A"/>
    <w:rsid w:val="009A18A7"/>
    <w:rsid w:val="009B0870"/>
    <w:rsid w:val="009D33D8"/>
    <w:rsid w:val="009D71C6"/>
    <w:rsid w:val="009E585F"/>
    <w:rsid w:val="00A139DE"/>
    <w:rsid w:val="00A32409"/>
    <w:rsid w:val="00A42134"/>
    <w:rsid w:val="00A61AD6"/>
    <w:rsid w:val="00A6413D"/>
    <w:rsid w:val="00A65EA0"/>
    <w:rsid w:val="00A72104"/>
    <w:rsid w:val="00A86AE1"/>
    <w:rsid w:val="00A90D4A"/>
    <w:rsid w:val="00A959A6"/>
    <w:rsid w:val="00AA1288"/>
    <w:rsid w:val="00AA17BB"/>
    <w:rsid w:val="00AA5C67"/>
    <w:rsid w:val="00AB4FAB"/>
    <w:rsid w:val="00AD0537"/>
    <w:rsid w:val="00AF3F5E"/>
    <w:rsid w:val="00AF50AE"/>
    <w:rsid w:val="00B10F75"/>
    <w:rsid w:val="00B20992"/>
    <w:rsid w:val="00B409C6"/>
    <w:rsid w:val="00B45B12"/>
    <w:rsid w:val="00B75338"/>
    <w:rsid w:val="00B940DF"/>
    <w:rsid w:val="00BA1416"/>
    <w:rsid w:val="00BB1CB3"/>
    <w:rsid w:val="00BC3017"/>
    <w:rsid w:val="00BC3ABB"/>
    <w:rsid w:val="00BE0961"/>
    <w:rsid w:val="00BE6A3C"/>
    <w:rsid w:val="00BF6291"/>
    <w:rsid w:val="00C02CE0"/>
    <w:rsid w:val="00C330AD"/>
    <w:rsid w:val="00C33CC9"/>
    <w:rsid w:val="00C417A3"/>
    <w:rsid w:val="00C44C35"/>
    <w:rsid w:val="00C540F1"/>
    <w:rsid w:val="00C62F7E"/>
    <w:rsid w:val="00CA56BB"/>
    <w:rsid w:val="00CB3CED"/>
    <w:rsid w:val="00CD717F"/>
    <w:rsid w:val="00D0120D"/>
    <w:rsid w:val="00D252CF"/>
    <w:rsid w:val="00D26B3A"/>
    <w:rsid w:val="00D32984"/>
    <w:rsid w:val="00D71DE6"/>
    <w:rsid w:val="00D747FF"/>
    <w:rsid w:val="00D96460"/>
    <w:rsid w:val="00DB6B3C"/>
    <w:rsid w:val="00DE5536"/>
    <w:rsid w:val="00DF2CFD"/>
    <w:rsid w:val="00E21152"/>
    <w:rsid w:val="00E26C88"/>
    <w:rsid w:val="00E32136"/>
    <w:rsid w:val="00E44AF7"/>
    <w:rsid w:val="00E6523B"/>
    <w:rsid w:val="00E710E6"/>
    <w:rsid w:val="00E72933"/>
    <w:rsid w:val="00E77DF6"/>
    <w:rsid w:val="00E84B1C"/>
    <w:rsid w:val="00EA5314"/>
    <w:rsid w:val="00EA6440"/>
    <w:rsid w:val="00EB0EA7"/>
    <w:rsid w:val="00ED2BA8"/>
    <w:rsid w:val="00ED4459"/>
    <w:rsid w:val="00ED5918"/>
    <w:rsid w:val="00ED6014"/>
    <w:rsid w:val="00EE38AD"/>
    <w:rsid w:val="00F1697A"/>
    <w:rsid w:val="00F24B8C"/>
    <w:rsid w:val="00F24EF0"/>
    <w:rsid w:val="00F44D10"/>
    <w:rsid w:val="00FA0067"/>
    <w:rsid w:val="00FA66F6"/>
    <w:rsid w:val="00FB3AA8"/>
    <w:rsid w:val="00FC2B87"/>
    <w:rsid w:val="00FC6990"/>
    <w:rsid w:val="00FD5A52"/>
    <w:rsid w:val="00FD71F8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10F75"/>
    <w:rPr>
      <w:i/>
      <w:iCs/>
    </w:rPr>
  </w:style>
  <w:style w:type="table" w:customStyle="1" w:styleId="GridTable4Accent4">
    <w:name w:val="Grid Table 4 Accent 4"/>
    <w:basedOn w:val="TableNormal"/>
    <w:uiPriority w:val="49"/>
    <w:rsid w:val="00FD5A52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10F75"/>
    <w:rPr>
      <w:i/>
      <w:iCs/>
    </w:rPr>
  </w:style>
  <w:style w:type="table" w:customStyle="1" w:styleId="GridTable4Accent4">
    <w:name w:val="Grid Table 4 Accent 4"/>
    <w:basedOn w:val="TableNormal"/>
    <w:uiPriority w:val="49"/>
    <w:rsid w:val="00FD5A52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7C8C-88BE-4413-96FE-18B874FB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3</cp:revision>
  <cp:lastPrinted>2017-09-13T14:33:00Z</cp:lastPrinted>
  <dcterms:created xsi:type="dcterms:W3CDTF">2017-09-20T09:02:00Z</dcterms:created>
  <dcterms:modified xsi:type="dcterms:W3CDTF">2017-09-21T12:12:00Z</dcterms:modified>
</cp:coreProperties>
</file>