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8142A"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BB1867">
      <w:pP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1924DA">
        <w:rPr>
          <w:rFonts w:ascii="Arial" w:eastAsia="Arial Unicode MS" w:hAnsi="Arial" w:cs="Arial"/>
          <w:b/>
          <w:color w:val="000000"/>
          <w:u w:color="000000"/>
        </w:rPr>
        <w:t>2723</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1924DA">
        <w:rPr>
          <w:rFonts w:ascii="Arial" w:eastAsia="Arial Unicode MS" w:hAnsi="Arial" w:cs="Arial"/>
          <w:b/>
          <w:color w:val="000000"/>
          <w:u w:color="000000"/>
        </w:rPr>
        <w:t>14</w:t>
      </w:r>
      <w:r w:rsidR="00A54ADA">
        <w:rPr>
          <w:rFonts w:ascii="Arial" w:eastAsia="Arial Unicode MS" w:hAnsi="Arial" w:cs="Arial"/>
          <w:b/>
          <w:color w:val="000000"/>
          <w:u w:color="000000"/>
        </w:rPr>
        <w:t xml:space="preserve"> September 2018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1924DA" w:rsidRPr="001924DA" w:rsidRDefault="001924DA" w:rsidP="001924DA">
      <w:pPr>
        <w:spacing w:line="276" w:lineRule="auto"/>
        <w:rPr>
          <w:rFonts w:ascii="Arial" w:hAnsi="Arial" w:cs="Arial"/>
          <w:b/>
          <w:color w:val="353838"/>
          <w:lang w:val="en-GB"/>
        </w:rPr>
      </w:pPr>
    </w:p>
    <w:p w:rsidR="001924DA" w:rsidRPr="001924DA" w:rsidRDefault="001924DA" w:rsidP="00B37A7A">
      <w:pPr>
        <w:spacing w:line="276" w:lineRule="auto"/>
        <w:rPr>
          <w:rFonts w:ascii="Arial" w:hAnsi="Arial" w:cs="Arial"/>
          <w:color w:val="353838"/>
          <w:lang w:val="en-ZA" w:eastAsia="en-ZA"/>
        </w:rPr>
      </w:pPr>
      <w:r w:rsidRPr="001924DA">
        <w:rPr>
          <w:rFonts w:ascii="Arial" w:hAnsi="Arial" w:cs="Arial"/>
          <w:b/>
          <w:color w:val="353838"/>
          <w:lang w:val="en-GB"/>
        </w:rPr>
        <w:t xml:space="preserve">Mr N Singh (IFP) to </w:t>
      </w:r>
      <w:r w:rsidRPr="001924DA">
        <w:rPr>
          <w:rFonts w:ascii="Arial" w:hAnsi="Arial" w:cs="Arial"/>
          <w:b/>
          <w:color w:val="353838"/>
        </w:rPr>
        <w:t>ask</w:t>
      </w:r>
      <w:r w:rsidRPr="001924DA">
        <w:rPr>
          <w:rFonts w:ascii="Arial" w:hAnsi="Arial" w:cs="Arial"/>
          <w:b/>
          <w:color w:val="353838"/>
          <w:lang w:val="en-GB"/>
        </w:rPr>
        <w:t xml:space="preserve"> the Minister of Economic Development:</w:t>
      </w:r>
    </w:p>
    <w:p w:rsidR="001924DA" w:rsidRPr="001924DA" w:rsidRDefault="001924DA" w:rsidP="00B37A7A">
      <w:pPr>
        <w:pStyle w:val="NormalWeb"/>
        <w:spacing w:line="276" w:lineRule="auto"/>
        <w:ind w:left="720" w:hanging="720"/>
        <w:jc w:val="both"/>
        <w:rPr>
          <w:rFonts w:ascii="Arial" w:hAnsi="Arial" w:cs="Arial"/>
          <w:color w:val="353838"/>
        </w:rPr>
      </w:pPr>
      <w:r w:rsidRPr="001924DA">
        <w:rPr>
          <w:rFonts w:ascii="Arial" w:eastAsia="Calibri" w:hAnsi="Arial" w:cs="Arial"/>
          <w:color w:val="353838"/>
        </w:rPr>
        <w:t>(1)</w:t>
      </w:r>
      <w:r w:rsidRPr="001924DA">
        <w:rPr>
          <w:rFonts w:ascii="Arial" w:eastAsia="Calibri" w:hAnsi="Arial" w:cs="Arial"/>
          <w:color w:val="353838"/>
        </w:rPr>
        <w:tab/>
        <w:t>What are the details of (a) any loans provided by the Industrial Development Corporation to a certain company (name furnished) or any of its affiliate companies which fall under a certain company (name also furnished) and (b)(i) the total sum and (ii) terms and conditions of each such loan;</w:t>
      </w:r>
    </w:p>
    <w:p w:rsidR="001924DA" w:rsidRPr="001924DA" w:rsidRDefault="001924DA" w:rsidP="00B37A7A">
      <w:pPr>
        <w:pStyle w:val="NormalWeb"/>
        <w:spacing w:line="276" w:lineRule="auto"/>
        <w:ind w:left="720" w:hanging="720"/>
        <w:jc w:val="both"/>
        <w:rPr>
          <w:rFonts w:ascii="Arial" w:hAnsi="Arial" w:cs="Arial"/>
          <w:color w:val="353838"/>
        </w:rPr>
      </w:pPr>
      <w:r w:rsidRPr="001924DA">
        <w:rPr>
          <w:rFonts w:ascii="Arial" w:eastAsia="Calibri" w:hAnsi="Arial" w:cs="Arial"/>
          <w:color w:val="353838"/>
        </w:rPr>
        <w:t>(2)</w:t>
      </w:r>
      <w:r w:rsidRPr="001924DA">
        <w:rPr>
          <w:rFonts w:ascii="Arial" w:eastAsia="Calibri" w:hAnsi="Arial" w:cs="Arial"/>
          <w:color w:val="353838"/>
        </w:rPr>
        <w:tab/>
        <w:t>whether any of the specified loans is now the subject of litigation; if so, what are the details thereof;</w:t>
      </w:r>
    </w:p>
    <w:p w:rsidR="001924DA" w:rsidRPr="001924DA" w:rsidRDefault="001924DA" w:rsidP="00B37A7A">
      <w:pPr>
        <w:pStyle w:val="NormalWeb"/>
        <w:spacing w:line="276" w:lineRule="auto"/>
        <w:ind w:left="720" w:hanging="720"/>
        <w:jc w:val="both"/>
        <w:rPr>
          <w:rFonts w:ascii="Arial" w:hAnsi="Arial" w:cs="Arial"/>
          <w:color w:val="353838"/>
        </w:rPr>
      </w:pPr>
      <w:r w:rsidRPr="001924DA">
        <w:rPr>
          <w:rFonts w:ascii="Arial" w:eastAsia="Calibri" w:hAnsi="Arial" w:cs="Arial"/>
          <w:color w:val="353838"/>
        </w:rPr>
        <w:t>(3)</w:t>
      </w:r>
      <w:r w:rsidRPr="001924DA">
        <w:rPr>
          <w:rFonts w:ascii="Arial" w:eastAsia="Calibri" w:hAnsi="Arial" w:cs="Arial"/>
          <w:color w:val="353838"/>
        </w:rPr>
        <w:tab/>
        <w:t>whether his department is conducting any internal investigations into the maladministration and financial mismanagement of the abovementioned entities; if not, why not; if so, what are the relevant details?</w:t>
      </w:r>
      <w:r w:rsidRPr="001924DA">
        <w:rPr>
          <w:rFonts w:ascii="Arial" w:eastAsia="Calibri" w:hAnsi="Arial" w:cs="Arial"/>
          <w:color w:val="353838"/>
        </w:rPr>
        <w:tab/>
      </w:r>
      <w:r w:rsidRPr="001924DA">
        <w:rPr>
          <w:rFonts w:ascii="Arial" w:hAnsi="Arial" w:cs="Arial"/>
          <w:color w:val="353838"/>
          <w:lang w:val="en-GB"/>
        </w:rPr>
        <w:tab/>
      </w:r>
      <w:r w:rsidRPr="001924DA">
        <w:rPr>
          <w:rFonts w:ascii="Arial" w:eastAsia="Calibri" w:hAnsi="Arial" w:cs="Arial"/>
          <w:color w:val="353838"/>
        </w:rPr>
        <w:t>NW3015E</w:t>
      </w:r>
    </w:p>
    <w:p w:rsidR="001C37E8" w:rsidRDefault="00494C9B" w:rsidP="00C9430F">
      <w:pPr>
        <w:pStyle w:val="ListParagraph"/>
        <w:spacing w:line="360" w:lineRule="auto"/>
        <w:ind w:left="0"/>
        <w:jc w:val="both"/>
        <w:rPr>
          <w:rFonts w:ascii="Arial" w:hAnsi="Arial" w:cs="Arial"/>
          <w:b/>
          <w:szCs w:val="24"/>
          <w:lang w:val="en-ZA"/>
        </w:rPr>
      </w:pPr>
      <w:r w:rsidRPr="00664CF9">
        <w:rPr>
          <w:rFonts w:ascii="Arial" w:hAnsi="Arial" w:cs="Arial"/>
          <w:b/>
          <w:szCs w:val="24"/>
        </w:rPr>
        <w:t>REPLY</w:t>
      </w:r>
      <w:r w:rsidR="00C9430F">
        <w:rPr>
          <w:rFonts w:ascii="Arial" w:hAnsi="Arial" w:cs="Arial"/>
          <w:b/>
          <w:szCs w:val="24"/>
          <w:lang w:val="en-ZA"/>
        </w:rPr>
        <w:t xml:space="preserve">: </w:t>
      </w:r>
    </w:p>
    <w:p w:rsidR="00B37A7A" w:rsidRDefault="00B37A7A" w:rsidP="00B37A7A">
      <w:pPr>
        <w:spacing w:line="276" w:lineRule="auto"/>
        <w:jc w:val="both"/>
        <w:outlineLvl w:val="0"/>
        <w:rPr>
          <w:rFonts w:ascii="Arial" w:eastAsia="Arial Unicode MS" w:hAnsi="Arial" w:cs="Arial"/>
          <w:color w:val="000000"/>
          <w:u w:color="000000"/>
        </w:rPr>
      </w:pPr>
      <w:r w:rsidRPr="00AC6F09">
        <w:rPr>
          <w:rFonts w:ascii="Arial" w:eastAsia="Arial Unicode MS" w:hAnsi="Arial" w:cs="Arial"/>
          <w:color w:val="000000"/>
          <w:u w:color="000000"/>
        </w:rPr>
        <w:t>I have been furnished with a reply by the CEO of the IDC, Mr Geoffrey Qhena, to the</w:t>
      </w:r>
      <w:r>
        <w:rPr>
          <w:rFonts w:ascii="Arial" w:eastAsia="Arial Unicode MS" w:hAnsi="Arial" w:cs="Arial"/>
          <w:color w:val="000000"/>
          <w:u w:color="000000"/>
        </w:rPr>
        <w:t xml:space="preserve"> question, which</w:t>
      </w:r>
      <w:r w:rsidR="00001217">
        <w:rPr>
          <w:rFonts w:ascii="Arial" w:eastAsia="Arial Unicode MS" w:hAnsi="Arial" w:cs="Arial"/>
          <w:color w:val="000000"/>
          <w:u w:color="000000"/>
        </w:rPr>
        <w:t xml:space="preserve"> I quote as</w:t>
      </w:r>
      <w:r>
        <w:rPr>
          <w:rFonts w:ascii="Arial" w:eastAsia="Arial Unicode MS" w:hAnsi="Arial" w:cs="Arial"/>
          <w:color w:val="000000"/>
          <w:u w:color="000000"/>
        </w:rPr>
        <w:t xml:space="preserve"> follows:</w:t>
      </w:r>
    </w:p>
    <w:p w:rsidR="00B37A7A" w:rsidRDefault="00B37A7A" w:rsidP="00B37A7A">
      <w:pPr>
        <w:pStyle w:val="NormalWeb"/>
        <w:spacing w:before="0" w:beforeAutospacing="0" w:after="0" w:afterAutospacing="0" w:line="276" w:lineRule="auto"/>
        <w:jc w:val="both"/>
        <w:rPr>
          <w:rFonts w:ascii="Arial" w:hAnsi="Arial" w:cs="Arial"/>
        </w:rPr>
      </w:pPr>
    </w:p>
    <w:p w:rsidR="00B37A7A" w:rsidRPr="004F279C" w:rsidRDefault="00B37A7A" w:rsidP="00B37A7A">
      <w:pPr>
        <w:pStyle w:val="NormalWeb"/>
        <w:spacing w:before="0" w:beforeAutospacing="0" w:after="0" w:afterAutospacing="0" w:line="276" w:lineRule="auto"/>
        <w:jc w:val="both"/>
        <w:rPr>
          <w:rFonts w:ascii="Arial" w:hAnsi="Arial" w:cs="Arial"/>
          <w:i/>
        </w:rPr>
      </w:pPr>
      <w:r w:rsidRPr="004F279C">
        <w:rPr>
          <w:rFonts w:ascii="Arial" w:hAnsi="Arial" w:cs="Arial"/>
          <w:i/>
        </w:rPr>
        <w:t>“The IDC approved a total funding amount of R185 million for Glodina Lifestyle (Pty) Ltd (“</w:t>
      </w:r>
      <w:r w:rsidRPr="00001217">
        <w:rPr>
          <w:rFonts w:ascii="Arial" w:hAnsi="Arial" w:cs="Arial"/>
          <w:i/>
        </w:rPr>
        <w:t>Lifestyle</w:t>
      </w:r>
      <w:r w:rsidRPr="004F279C">
        <w:rPr>
          <w:rFonts w:ascii="Arial" w:hAnsi="Arial" w:cs="Arial"/>
          <w:i/>
        </w:rPr>
        <w:t>”) to acquire a division of KAP Homeware (Pty) Ltd (</w:t>
      </w:r>
      <w:r w:rsidRPr="00001217">
        <w:rPr>
          <w:rFonts w:ascii="Arial" w:hAnsi="Arial" w:cs="Arial"/>
          <w:i/>
        </w:rPr>
        <w:t>“KAP”</w:t>
      </w:r>
      <w:r w:rsidRPr="004F279C">
        <w:rPr>
          <w:rFonts w:ascii="Arial" w:hAnsi="Arial" w:cs="Arial"/>
          <w:i/>
        </w:rPr>
        <w:t>). No amount has been approved to affiliates of KAP in so far as this transaction is concerned.</w:t>
      </w:r>
    </w:p>
    <w:p w:rsidR="00B37A7A" w:rsidRPr="004F279C" w:rsidRDefault="00B37A7A" w:rsidP="00B37A7A">
      <w:pPr>
        <w:spacing w:line="276" w:lineRule="auto"/>
        <w:jc w:val="both"/>
        <w:rPr>
          <w:rFonts w:ascii="Arial" w:hAnsi="Arial" w:cs="Arial"/>
          <w:i/>
        </w:rPr>
      </w:pPr>
    </w:p>
    <w:p w:rsidR="00B37A7A" w:rsidRPr="004F279C" w:rsidRDefault="00B37A7A" w:rsidP="00B37A7A">
      <w:pPr>
        <w:spacing w:line="276" w:lineRule="auto"/>
        <w:jc w:val="both"/>
        <w:rPr>
          <w:rFonts w:ascii="Arial" w:hAnsi="Arial" w:cs="Arial"/>
          <w:i/>
        </w:rPr>
      </w:pPr>
      <w:r w:rsidRPr="004F279C">
        <w:rPr>
          <w:rFonts w:ascii="Arial" w:hAnsi="Arial" w:cs="Arial"/>
          <w:i/>
        </w:rPr>
        <w:t>Following a partial draw down</w:t>
      </w:r>
      <w:r w:rsidRPr="004F279C">
        <w:rPr>
          <w:rFonts w:ascii="Arial" w:hAnsi="Arial" w:cs="Arial"/>
          <w:b/>
          <w:i/>
        </w:rPr>
        <w:t xml:space="preserve"> </w:t>
      </w:r>
      <w:r w:rsidRPr="004F279C">
        <w:rPr>
          <w:rFonts w:ascii="Arial" w:hAnsi="Arial" w:cs="Arial"/>
          <w:i/>
        </w:rPr>
        <w:t>by Lifestyle, it was discovered that the shareholder did not conform with the KAP sale and purchase agreement and the IDC loan agreement and the planned sale was therefore cancelled.  A forensic investigation was carried out by IDC Internal Audit which resulted in criminal charges being laid in May 2018 against the shareholder in Lifestyle for misrepresentation.</w:t>
      </w:r>
    </w:p>
    <w:p w:rsidR="00B37A7A" w:rsidRPr="004F279C" w:rsidRDefault="00B37A7A" w:rsidP="00B37A7A">
      <w:pPr>
        <w:spacing w:line="276" w:lineRule="auto"/>
        <w:jc w:val="both"/>
        <w:rPr>
          <w:rFonts w:ascii="Arial" w:hAnsi="Arial" w:cs="Arial"/>
          <w:i/>
        </w:rPr>
      </w:pPr>
    </w:p>
    <w:p w:rsidR="00B37A7A" w:rsidRPr="004F279C" w:rsidRDefault="00B37A7A" w:rsidP="00B37A7A">
      <w:pPr>
        <w:pStyle w:val="NormalWeb"/>
        <w:spacing w:before="0" w:beforeAutospacing="0" w:after="0" w:afterAutospacing="0" w:line="276" w:lineRule="auto"/>
        <w:jc w:val="both"/>
        <w:rPr>
          <w:rFonts w:ascii="Arial" w:hAnsi="Arial" w:cs="Arial"/>
          <w:i/>
        </w:rPr>
      </w:pPr>
      <w:r w:rsidRPr="004F279C">
        <w:rPr>
          <w:rFonts w:ascii="Arial" w:hAnsi="Arial" w:cs="Arial"/>
          <w:i/>
        </w:rPr>
        <w:t xml:space="preserve">The matter has since been referred to the Johannesburg Commercial Crimes Unit. IDC has since concluded a sale and purchase agreement with KAP with the intention </w:t>
      </w:r>
      <w:r w:rsidRPr="004F279C">
        <w:rPr>
          <w:rFonts w:ascii="Arial" w:hAnsi="Arial" w:cs="Arial"/>
          <w:i/>
        </w:rPr>
        <w:lastRenderedPageBreak/>
        <w:t xml:space="preserve">to resuscitate the Glodina business. The IDC’s intention is to start the recommissioning of the plant as soon as possible.”  </w:t>
      </w:r>
    </w:p>
    <w:p w:rsidR="00B37A7A" w:rsidRDefault="00B37A7A" w:rsidP="00B37A7A">
      <w:pPr>
        <w:spacing w:line="360" w:lineRule="auto"/>
        <w:jc w:val="both"/>
        <w:rPr>
          <w:rFonts w:ascii="Arial" w:hAnsi="Arial" w:cs="Arial"/>
          <w:szCs w:val="22"/>
        </w:rPr>
      </w:pPr>
    </w:p>
    <w:p w:rsidR="00B37A7A" w:rsidRDefault="00001217" w:rsidP="00B37A7A">
      <w:pPr>
        <w:spacing w:line="360" w:lineRule="auto"/>
        <w:jc w:val="both"/>
        <w:rPr>
          <w:rFonts w:ascii="Arial" w:hAnsi="Arial" w:cs="Arial"/>
          <w:szCs w:val="22"/>
        </w:rPr>
      </w:pPr>
      <w:r>
        <w:rPr>
          <w:rFonts w:ascii="Arial" w:hAnsi="Arial" w:cs="Arial"/>
          <w:szCs w:val="22"/>
        </w:rPr>
        <w:t>In addition to the above reply by the IDC CEO, I am advised that the Department reviewed the claims and counter claims of the various parties to the transaction prior to the institution of formal court proceedings. In light of the court proceedings, the Department will monitor their outcome and take any steps that are warranted, based on additional information that comes to light.</w:t>
      </w:r>
    </w:p>
    <w:p w:rsidR="00001217" w:rsidRPr="00C9430F" w:rsidRDefault="00001217" w:rsidP="00B37A7A">
      <w:pPr>
        <w:spacing w:line="360" w:lineRule="auto"/>
        <w:jc w:val="both"/>
        <w:rPr>
          <w:rFonts w:ascii="Arial" w:hAnsi="Arial" w:cs="Arial"/>
          <w:szCs w:val="22"/>
        </w:rPr>
      </w:pPr>
    </w:p>
    <w:p w:rsidR="001C37E8" w:rsidRPr="0025606A" w:rsidRDefault="001C37E8" w:rsidP="001C37E8">
      <w:pPr>
        <w:spacing w:line="276" w:lineRule="auto"/>
        <w:jc w:val="both"/>
        <w:rPr>
          <w:rFonts w:ascii="Arial" w:eastAsia="Calibri" w:hAnsi="Arial" w:cs="Arial"/>
          <w:b/>
          <w:bCs/>
          <w:lang/>
        </w:rPr>
      </w:pPr>
    </w:p>
    <w:p w:rsidR="00D917B0" w:rsidRDefault="00D917B0" w:rsidP="001C37E8">
      <w:pPr>
        <w:spacing w:line="276" w:lineRule="auto"/>
        <w:jc w:val="both"/>
        <w:rPr>
          <w:rFonts w:ascii="Arial" w:eastAsia="Calibri" w:hAnsi="Arial" w:cs="Arial"/>
          <w:b/>
          <w:bCs/>
          <w:lang w:val="en-ZA"/>
        </w:rPr>
      </w:pPr>
    </w:p>
    <w:p w:rsidR="001C37E8" w:rsidRPr="008422FE" w:rsidRDefault="008422FE" w:rsidP="008422FE">
      <w:pPr>
        <w:pStyle w:val="Body1"/>
        <w:spacing w:line="360" w:lineRule="auto"/>
        <w:jc w:val="center"/>
        <w:rPr>
          <w:rFonts w:ascii="Arial" w:hAnsi="Arial"/>
          <w:b/>
          <w:szCs w:val="24"/>
        </w:rPr>
      </w:pPr>
      <w:r w:rsidRPr="008422FE">
        <w:rPr>
          <w:rFonts w:ascii="Arial" w:hAnsi="Arial"/>
          <w:b/>
          <w:szCs w:val="24"/>
        </w:rPr>
        <w:t>-END-</w:t>
      </w:r>
    </w:p>
    <w:p w:rsidR="002678AD" w:rsidRPr="001C37E8" w:rsidRDefault="002678AD" w:rsidP="001C37E8">
      <w:pPr>
        <w:rPr>
          <w:rFonts w:ascii="Arial" w:hAnsi="Arial" w:cs="Arial"/>
          <w:lang w:val="en-ZA" w:eastAsia="en-ZA"/>
        </w:rPr>
      </w:pPr>
    </w:p>
    <w:sectPr w:rsidR="002678AD" w:rsidRPr="001C37E8"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92" w:rsidRDefault="00796892">
      <w:r>
        <w:separator/>
      </w:r>
    </w:p>
  </w:endnote>
  <w:endnote w:type="continuationSeparator" w:id="0">
    <w:p w:rsidR="00796892" w:rsidRDefault="00796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96892">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C9430F">
      <w:rPr>
        <w:rFonts w:ascii="Arial" w:hAnsi="Arial" w:cs="Arial"/>
        <w:sz w:val="16"/>
        <w:szCs w:val="16"/>
      </w:rPr>
      <w:t>n No 27</w:t>
    </w:r>
    <w:r w:rsidR="001924DA">
      <w:rPr>
        <w:rFonts w:ascii="Arial" w:hAnsi="Arial" w:cs="Arial"/>
        <w:sz w:val="16"/>
        <w:szCs w:val="16"/>
      </w:rPr>
      <w:t>23</w:t>
    </w:r>
    <w:r w:rsidR="00C9430F">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92" w:rsidRDefault="00796892">
      <w:r>
        <w:separator/>
      </w:r>
    </w:p>
  </w:footnote>
  <w:footnote w:type="continuationSeparator" w:id="0">
    <w:p w:rsidR="00796892" w:rsidRDefault="00796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5BD"/>
    <w:multiLevelType w:val="hybridMultilevel"/>
    <w:tmpl w:val="F4587578"/>
    <w:lvl w:ilvl="0" w:tplc="035C2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555E7"/>
    <w:multiLevelType w:val="hybridMultilevel"/>
    <w:tmpl w:val="57720776"/>
    <w:lvl w:ilvl="0" w:tplc="006A195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290B7F"/>
    <w:multiLevelType w:val="hybridMultilevel"/>
    <w:tmpl w:val="B38CA6A4"/>
    <w:lvl w:ilvl="0" w:tplc="83EEA7A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3B654BA"/>
    <w:multiLevelType w:val="hybridMultilevel"/>
    <w:tmpl w:val="195C6100"/>
    <w:lvl w:ilvl="0" w:tplc="C74C68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2F6CD5"/>
    <w:multiLevelType w:val="hybridMultilevel"/>
    <w:tmpl w:val="0864487C"/>
    <w:lvl w:ilvl="0" w:tplc="4C0012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BF020A"/>
    <w:multiLevelType w:val="hybridMultilevel"/>
    <w:tmpl w:val="829872C2"/>
    <w:lvl w:ilvl="0" w:tplc="672808C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4165DB"/>
    <w:multiLevelType w:val="hybridMultilevel"/>
    <w:tmpl w:val="22A8F0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2C5921"/>
    <w:multiLevelType w:val="hybridMultilevel"/>
    <w:tmpl w:val="890E6650"/>
    <w:lvl w:ilvl="0" w:tplc="3CA27EB6">
      <w:start w:val="1"/>
      <w:numFmt w:val="decimal"/>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num w:numId="1">
    <w:abstractNumId w:val="11"/>
  </w:num>
  <w:num w:numId="2">
    <w:abstractNumId w:val="12"/>
  </w:num>
  <w:num w:numId="3">
    <w:abstractNumId w:val="4"/>
  </w:num>
  <w:num w:numId="4">
    <w:abstractNumId w:val="3"/>
  </w:num>
  <w:num w:numId="5">
    <w:abstractNumId w:val="5"/>
  </w:num>
  <w:num w:numId="6">
    <w:abstractNumId w:val="6"/>
  </w:num>
  <w:num w:numId="7">
    <w:abstractNumId w:val="1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 w:numId="13">
    <w:abstractNumId w:val="2"/>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217"/>
    <w:rsid w:val="00001B42"/>
    <w:rsid w:val="0000212A"/>
    <w:rsid w:val="000027A4"/>
    <w:rsid w:val="000052EA"/>
    <w:rsid w:val="00011142"/>
    <w:rsid w:val="00012CDE"/>
    <w:rsid w:val="00017E3C"/>
    <w:rsid w:val="00021B18"/>
    <w:rsid w:val="00022751"/>
    <w:rsid w:val="00027FDC"/>
    <w:rsid w:val="000358B1"/>
    <w:rsid w:val="00035AB7"/>
    <w:rsid w:val="000377DB"/>
    <w:rsid w:val="00040471"/>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4FCD"/>
    <w:rsid w:val="00127227"/>
    <w:rsid w:val="00127B35"/>
    <w:rsid w:val="00135E7C"/>
    <w:rsid w:val="00136F0B"/>
    <w:rsid w:val="00140EE5"/>
    <w:rsid w:val="0014244E"/>
    <w:rsid w:val="00143692"/>
    <w:rsid w:val="00146CB1"/>
    <w:rsid w:val="00160C82"/>
    <w:rsid w:val="00164373"/>
    <w:rsid w:val="0016738D"/>
    <w:rsid w:val="001701CC"/>
    <w:rsid w:val="001819B5"/>
    <w:rsid w:val="00182F3E"/>
    <w:rsid w:val="00183543"/>
    <w:rsid w:val="00187F72"/>
    <w:rsid w:val="001924DA"/>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41AF8"/>
    <w:rsid w:val="00246ECE"/>
    <w:rsid w:val="00247676"/>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322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3F62EC"/>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279C"/>
    <w:rsid w:val="004F39DB"/>
    <w:rsid w:val="00516941"/>
    <w:rsid w:val="00525033"/>
    <w:rsid w:val="0053211B"/>
    <w:rsid w:val="00540E36"/>
    <w:rsid w:val="00544AAC"/>
    <w:rsid w:val="00547320"/>
    <w:rsid w:val="00547607"/>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7837"/>
    <w:rsid w:val="005F09EC"/>
    <w:rsid w:val="005F196D"/>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61A5"/>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51C23"/>
    <w:rsid w:val="007608B9"/>
    <w:rsid w:val="00766298"/>
    <w:rsid w:val="00773C77"/>
    <w:rsid w:val="007751D8"/>
    <w:rsid w:val="00777937"/>
    <w:rsid w:val="007807BB"/>
    <w:rsid w:val="0078144A"/>
    <w:rsid w:val="007829B3"/>
    <w:rsid w:val="00787E49"/>
    <w:rsid w:val="0079129F"/>
    <w:rsid w:val="00796892"/>
    <w:rsid w:val="00797F82"/>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31932"/>
    <w:rsid w:val="00832A5D"/>
    <w:rsid w:val="00833A78"/>
    <w:rsid w:val="00836935"/>
    <w:rsid w:val="008402CB"/>
    <w:rsid w:val="008422FE"/>
    <w:rsid w:val="00842ECF"/>
    <w:rsid w:val="00845596"/>
    <w:rsid w:val="00850B72"/>
    <w:rsid w:val="0085130C"/>
    <w:rsid w:val="008625D9"/>
    <w:rsid w:val="00864638"/>
    <w:rsid w:val="00865F3D"/>
    <w:rsid w:val="00874783"/>
    <w:rsid w:val="0088082E"/>
    <w:rsid w:val="008813C7"/>
    <w:rsid w:val="00881A5F"/>
    <w:rsid w:val="00882A0D"/>
    <w:rsid w:val="00891368"/>
    <w:rsid w:val="008A0C72"/>
    <w:rsid w:val="008A3C1D"/>
    <w:rsid w:val="008B01D5"/>
    <w:rsid w:val="008B05FC"/>
    <w:rsid w:val="008B2008"/>
    <w:rsid w:val="008B2F34"/>
    <w:rsid w:val="008C0220"/>
    <w:rsid w:val="008C4E9B"/>
    <w:rsid w:val="008D233A"/>
    <w:rsid w:val="008D33A9"/>
    <w:rsid w:val="008D5095"/>
    <w:rsid w:val="008D5506"/>
    <w:rsid w:val="008F3A69"/>
    <w:rsid w:val="008F3C02"/>
    <w:rsid w:val="008F3D97"/>
    <w:rsid w:val="008F484F"/>
    <w:rsid w:val="008F7AA9"/>
    <w:rsid w:val="0090096B"/>
    <w:rsid w:val="00906561"/>
    <w:rsid w:val="00907713"/>
    <w:rsid w:val="009106A5"/>
    <w:rsid w:val="00916DF9"/>
    <w:rsid w:val="00923FBE"/>
    <w:rsid w:val="00924717"/>
    <w:rsid w:val="0092515E"/>
    <w:rsid w:val="00926AFA"/>
    <w:rsid w:val="009319A8"/>
    <w:rsid w:val="00931C23"/>
    <w:rsid w:val="009358E0"/>
    <w:rsid w:val="00940053"/>
    <w:rsid w:val="00942FDD"/>
    <w:rsid w:val="00945E24"/>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4ADA"/>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0636F"/>
    <w:rsid w:val="00B06F7E"/>
    <w:rsid w:val="00B11748"/>
    <w:rsid w:val="00B12BC7"/>
    <w:rsid w:val="00B2060C"/>
    <w:rsid w:val="00B213B9"/>
    <w:rsid w:val="00B25519"/>
    <w:rsid w:val="00B2678D"/>
    <w:rsid w:val="00B37A7A"/>
    <w:rsid w:val="00B40F0C"/>
    <w:rsid w:val="00B46C1F"/>
    <w:rsid w:val="00B54B9E"/>
    <w:rsid w:val="00B556FF"/>
    <w:rsid w:val="00B619C6"/>
    <w:rsid w:val="00B6330E"/>
    <w:rsid w:val="00B749B3"/>
    <w:rsid w:val="00B80F96"/>
    <w:rsid w:val="00B81006"/>
    <w:rsid w:val="00B82479"/>
    <w:rsid w:val="00B87B41"/>
    <w:rsid w:val="00B94C08"/>
    <w:rsid w:val="00BA59F0"/>
    <w:rsid w:val="00BA7991"/>
    <w:rsid w:val="00BB1867"/>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3BB9"/>
    <w:rsid w:val="00C1486C"/>
    <w:rsid w:val="00C15419"/>
    <w:rsid w:val="00C36B76"/>
    <w:rsid w:val="00C408EE"/>
    <w:rsid w:val="00C461C9"/>
    <w:rsid w:val="00C50CEA"/>
    <w:rsid w:val="00C511F0"/>
    <w:rsid w:val="00C5539D"/>
    <w:rsid w:val="00C626ED"/>
    <w:rsid w:val="00C66A7D"/>
    <w:rsid w:val="00C7051B"/>
    <w:rsid w:val="00C70C0F"/>
    <w:rsid w:val="00C740FA"/>
    <w:rsid w:val="00C74561"/>
    <w:rsid w:val="00C8142A"/>
    <w:rsid w:val="00C878E1"/>
    <w:rsid w:val="00C90072"/>
    <w:rsid w:val="00C90621"/>
    <w:rsid w:val="00C91E31"/>
    <w:rsid w:val="00C92077"/>
    <w:rsid w:val="00C934C8"/>
    <w:rsid w:val="00C9430F"/>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2FA0"/>
    <w:rsid w:val="00F348EC"/>
    <w:rsid w:val="00F35024"/>
    <w:rsid w:val="00F35202"/>
    <w:rsid w:val="00F4590A"/>
    <w:rsid w:val="00F549BE"/>
    <w:rsid w:val="00F61AB0"/>
    <w:rsid w:val="00F63F19"/>
    <w:rsid w:val="00F63F7D"/>
    <w:rsid w:val="00F676D3"/>
    <w:rsid w:val="00F67866"/>
    <w:rsid w:val="00F71F04"/>
    <w:rsid w:val="00F7442B"/>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C4FA3"/>
    <w:rsid w:val="00FD45B4"/>
    <w:rsid w:val="00FD4A95"/>
    <w:rsid w:val="00FD5696"/>
    <w:rsid w:val="00FD60DD"/>
    <w:rsid w:val="00FD6EBA"/>
    <w:rsid w:val="00FE3B22"/>
    <w:rsid w:val="00FE4467"/>
    <w:rsid w:val="00FE68B0"/>
    <w:rsid w:val="00FF017D"/>
    <w:rsid w:val="00FF09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1924DA"/>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403112312">
      <w:bodyDiv w:val="1"/>
      <w:marLeft w:val="0"/>
      <w:marRight w:val="0"/>
      <w:marTop w:val="0"/>
      <w:marBottom w:val="0"/>
      <w:divBdr>
        <w:top w:val="none" w:sz="0" w:space="0" w:color="auto"/>
        <w:left w:val="none" w:sz="0" w:space="0" w:color="auto"/>
        <w:bottom w:val="none" w:sz="0" w:space="0" w:color="auto"/>
        <w:right w:val="none" w:sz="0" w:space="0" w:color="auto"/>
      </w:divBdr>
      <w:divsChild>
        <w:div w:id="1583029220">
          <w:marLeft w:val="1440"/>
          <w:marRight w:val="0"/>
          <w:marTop w:val="100"/>
          <w:marBottom w:val="100"/>
          <w:divBdr>
            <w:top w:val="none" w:sz="0" w:space="0" w:color="auto"/>
            <w:left w:val="none" w:sz="0" w:space="0" w:color="auto"/>
            <w:bottom w:val="none" w:sz="0" w:space="0" w:color="auto"/>
            <w:right w:val="none" w:sz="0" w:space="0" w:color="auto"/>
          </w:divBdr>
        </w:div>
        <w:div w:id="1693916835">
          <w:marLeft w:val="1440"/>
          <w:marRight w:val="0"/>
          <w:marTop w:val="100"/>
          <w:marBottom w:val="100"/>
          <w:divBdr>
            <w:top w:val="none" w:sz="0" w:space="0" w:color="auto"/>
            <w:left w:val="none" w:sz="0" w:space="0" w:color="auto"/>
            <w:bottom w:val="none" w:sz="0" w:space="0" w:color="auto"/>
            <w:right w:val="none" w:sz="0" w:space="0" w:color="auto"/>
          </w:divBdr>
        </w:div>
      </w:divsChild>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590788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74484779">
          <w:marLeft w:val="0"/>
          <w:marRight w:val="0"/>
          <w:marTop w:val="0"/>
          <w:marBottom w:val="0"/>
          <w:divBdr>
            <w:top w:val="none" w:sz="0" w:space="0" w:color="auto"/>
            <w:left w:val="none" w:sz="0" w:space="0" w:color="auto"/>
            <w:bottom w:val="single" w:sz="6" w:space="9" w:color="C8C8C8"/>
            <w:right w:val="none" w:sz="0" w:space="0" w:color="auto"/>
          </w:divBdr>
          <w:divsChild>
            <w:div w:id="11105179">
              <w:marLeft w:val="0"/>
              <w:marRight w:val="0"/>
              <w:marTop w:val="0"/>
              <w:marBottom w:val="0"/>
              <w:divBdr>
                <w:top w:val="none" w:sz="0" w:space="0" w:color="auto"/>
                <w:left w:val="none" w:sz="0" w:space="0" w:color="auto"/>
                <w:bottom w:val="none" w:sz="0" w:space="0" w:color="auto"/>
                <w:right w:val="none" w:sz="0" w:space="0" w:color="auto"/>
              </w:divBdr>
            </w:div>
            <w:div w:id="637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16206032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311756566">
          <w:marLeft w:val="0"/>
          <w:marRight w:val="0"/>
          <w:marTop w:val="0"/>
          <w:marBottom w:val="0"/>
          <w:divBdr>
            <w:top w:val="none" w:sz="0" w:space="0" w:color="auto"/>
            <w:left w:val="none" w:sz="0" w:space="0" w:color="auto"/>
            <w:bottom w:val="single" w:sz="6" w:space="9" w:color="C8C8C8"/>
            <w:right w:val="none" w:sz="0" w:space="0" w:color="auto"/>
          </w:divBdr>
          <w:divsChild>
            <w:div w:id="952715249">
              <w:marLeft w:val="0"/>
              <w:marRight w:val="0"/>
              <w:marTop w:val="0"/>
              <w:marBottom w:val="0"/>
              <w:divBdr>
                <w:top w:val="none" w:sz="0" w:space="0" w:color="auto"/>
                <w:left w:val="none" w:sz="0" w:space="0" w:color="auto"/>
                <w:bottom w:val="none" w:sz="0" w:space="0" w:color="auto"/>
                <w:right w:val="none" w:sz="0" w:space="0" w:color="auto"/>
              </w:divBdr>
            </w:div>
            <w:div w:id="19834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3F90-8316-4EAE-97BB-59977DAC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2018-10-22T12:26:00Z</dcterms:created>
  <dcterms:modified xsi:type="dcterms:W3CDTF">2018-10-22T12:26:00Z</dcterms:modified>
</cp:coreProperties>
</file>