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8B09D4" w:rsidRDefault="00BC5A3F" w:rsidP="00BC5A3F">
      <w:pPr>
        <w:spacing w:line="276" w:lineRule="auto"/>
        <w:jc w:val="center"/>
        <w:rPr>
          <w:rFonts w:ascii="Arial" w:hAnsi="Arial" w:cs="Arial"/>
          <w:b/>
          <w:sz w:val="22"/>
          <w:szCs w:val="22"/>
        </w:rPr>
      </w:pPr>
      <w:bookmarkStart w:id="0" w:name="_Hlk34211974"/>
      <w:r w:rsidRPr="008B09D4">
        <w:rPr>
          <w:rFonts w:ascii="Arial" w:hAnsi="Arial" w:cs="Arial"/>
          <w:b/>
          <w:sz w:val="22"/>
          <w:szCs w:val="22"/>
        </w:rPr>
        <w:t xml:space="preserve">QUESTION FOR </w:t>
      </w:r>
      <w:r w:rsidR="008B09D4" w:rsidRPr="008B09D4">
        <w:rPr>
          <w:rFonts w:ascii="Arial" w:hAnsi="Arial" w:cs="Arial"/>
          <w:b/>
          <w:sz w:val="22"/>
          <w:szCs w:val="22"/>
        </w:rPr>
        <w:t>WRITTEN</w:t>
      </w:r>
      <w:r w:rsidRPr="008B09D4">
        <w:rPr>
          <w:rFonts w:ascii="Arial" w:hAnsi="Arial" w:cs="Arial"/>
          <w:b/>
          <w:sz w:val="22"/>
          <w:szCs w:val="22"/>
        </w:rPr>
        <w:t xml:space="preserve"> REPLY</w:t>
      </w:r>
    </w:p>
    <w:p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NUMBER: </w:t>
      </w:r>
      <w:r w:rsidR="005478A0">
        <w:rPr>
          <w:rFonts w:ascii="Arial" w:hAnsi="Arial" w:cs="Arial"/>
          <w:b/>
          <w:sz w:val="22"/>
          <w:szCs w:val="22"/>
        </w:rPr>
        <w:t>272</w:t>
      </w:r>
      <w:r w:rsidR="00354BA4" w:rsidRPr="008B09D4">
        <w:rPr>
          <w:rFonts w:ascii="Arial" w:hAnsi="Arial" w:cs="Arial"/>
          <w:b/>
          <w:sz w:val="22"/>
          <w:szCs w:val="22"/>
        </w:rPr>
        <w:t xml:space="preserve"> </w:t>
      </w:r>
      <w:r w:rsidRPr="008B09D4">
        <w:rPr>
          <w:rFonts w:ascii="Arial" w:hAnsi="Arial" w:cs="Arial"/>
          <w:b/>
          <w:sz w:val="22"/>
          <w:szCs w:val="22"/>
        </w:rPr>
        <w:t>[</w:t>
      </w:r>
      <w:r w:rsidR="008D4D35">
        <w:rPr>
          <w:rFonts w:ascii="Arial" w:hAnsi="Arial" w:cs="Arial"/>
          <w:b/>
          <w:sz w:val="22"/>
          <w:szCs w:val="22"/>
          <w:lang w:val="en-ZA"/>
        </w:rPr>
        <w:t>N</w:t>
      </w:r>
      <w:r w:rsidR="008B09D4" w:rsidRPr="008B09D4">
        <w:rPr>
          <w:rFonts w:ascii="Arial" w:hAnsi="Arial" w:cs="Arial"/>
          <w:b/>
          <w:sz w:val="22"/>
          <w:szCs w:val="22"/>
          <w:lang w:val="en-ZA"/>
        </w:rPr>
        <w:t>W</w:t>
      </w:r>
      <w:r w:rsidR="005478A0">
        <w:rPr>
          <w:rFonts w:ascii="Arial" w:hAnsi="Arial" w:cs="Arial"/>
          <w:b/>
          <w:sz w:val="22"/>
          <w:szCs w:val="22"/>
          <w:lang w:val="en-ZA"/>
        </w:rPr>
        <w:t>360</w:t>
      </w:r>
      <w:r w:rsidRPr="008B09D4">
        <w:rPr>
          <w:rFonts w:ascii="Arial" w:hAnsi="Arial" w:cs="Arial"/>
          <w:b/>
          <w:sz w:val="22"/>
          <w:szCs w:val="22"/>
          <w:lang w:val="en-ZA"/>
        </w:rPr>
        <w:t>E</w:t>
      </w:r>
      <w:r w:rsidRPr="008B09D4">
        <w:rPr>
          <w:rFonts w:ascii="Arial" w:hAnsi="Arial" w:cs="Arial"/>
          <w:b/>
          <w:sz w:val="22"/>
          <w:szCs w:val="22"/>
        </w:rPr>
        <w:t>]</w:t>
      </w:r>
    </w:p>
    <w:p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DATE OF PUBLICATION: </w:t>
      </w:r>
      <w:r w:rsidR="008236EC">
        <w:rPr>
          <w:rFonts w:ascii="Arial" w:hAnsi="Arial" w:cs="Arial"/>
          <w:b/>
          <w:sz w:val="22"/>
          <w:szCs w:val="22"/>
        </w:rPr>
        <w:t>2</w:t>
      </w:r>
      <w:r w:rsidR="008D4D35">
        <w:rPr>
          <w:rFonts w:ascii="Arial" w:hAnsi="Arial" w:cs="Arial"/>
          <w:b/>
          <w:sz w:val="22"/>
          <w:szCs w:val="22"/>
        </w:rPr>
        <w:t>8</w:t>
      </w:r>
      <w:r w:rsidRPr="008B09D4">
        <w:rPr>
          <w:rFonts w:ascii="Arial" w:hAnsi="Arial" w:cs="Arial"/>
          <w:b/>
          <w:sz w:val="22"/>
          <w:szCs w:val="22"/>
        </w:rPr>
        <w:t xml:space="preserve"> </w:t>
      </w:r>
      <w:r w:rsidR="008D4D35">
        <w:rPr>
          <w:rFonts w:ascii="Arial" w:hAnsi="Arial" w:cs="Arial"/>
          <w:b/>
          <w:sz w:val="22"/>
          <w:szCs w:val="22"/>
        </w:rPr>
        <w:t>FEBRUARY</w:t>
      </w:r>
      <w:r w:rsidRPr="008B09D4">
        <w:rPr>
          <w:rFonts w:ascii="Arial" w:hAnsi="Arial" w:cs="Arial"/>
          <w:b/>
          <w:sz w:val="22"/>
          <w:szCs w:val="22"/>
        </w:rPr>
        <w:t xml:space="preserve"> 20</w:t>
      </w:r>
      <w:r w:rsidR="008D4D35">
        <w:rPr>
          <w:rFonts w:ascii="Arial" w:hAnsi="Arial" w:cs="Arial"/>
          <w:b/>
          <w:sz w:val="22"/>
          <w:szCs w:val="22"/>
        </w:rPr>
        <w:t>20</w:t>
      </w:r>
    </w:p>
    <w:bookmarkEnd w:id="0"/>
    <w:p w:rsidR="008E3D62" w:rsidRPr="008D4D35" w:rsidRDefault="008E3D62" w:rsidP="008D4D35">
      <w:pPr>
        <w:spacing w:line="276" w:lineRule="auto"/>
        <w:jc w:val="both"/>
        <w:rPr>
          <w:rFonts w:ascii="Arial" w:hAnsi="Arial" w:cs="Arial"/>
          <w:b/>
          <w:sz w:val="22"/>
          <w:szCs w:val="22"/>
        </w:rPr>
      </w:pPr>
    </w:p>
    <w:p w:rsidR="005478A0" w:rsidRPr="005478A0" w:rsidRDefault="005478A0" w:rsidP="005478A0">
      <w:pPr>
        <w:spacing w:before="100" w:beforeAutospacing="1" w:after="100" w:afterAutospacing="1" w:line="276" w:lineRule="auto"/>
        <w:ind w:left="720" w:hanging="720"/>
        <w:jc w:val="both"/>
        <w:outlineLvl w:val="0"/>
        <w:rPr>
          <w:rFonts w:ascii="Arial" w:hAnsi="Arial" w:cs="Arial"/>
          <w:sz w:val="22"/>
          <w:szCs w:val="22"/>
        </w:rPr>
      </w:pPr>
      <w:r w:rsidRPr="005478A0">
        <w:rPr>
          <w:rFonts w:ascii="Arial" w:hAnsi="Arial" w:cs="Arial"/>
          <w:b/>
          <w:sz w:val="22"/>
          <w:szCs w:val="22"/>
        </w:rPr>
        <w:t>272.</w:t>
      </w:r>
      <w:r w:rsidRPr="005478A0">
        <w:rPr>
          <w:rFonts w:ascii="Arial" w:hAnsi="Arial" w:cs="Arial"/>
          <w:b/>
          <w:sz w:val="22"/>
          <w:szCs w:val="22"/>
        </w:rPr>
        <w:tab/>
        <w:t>Ms S J Graham (DA) to ask the Minister of Finance</w:t>
      </w:r>
      <w:r w:rsidRPr="005478A0">
        <w:rPr>
          <w:rFonts w:ascii="Arial" w:hAnsi="Arial" w:cs="Arial"/>
          <w:b/>
          <w:sz w:val="22"/>
          <w:szCs w:val="22"/>
        </w:rPr>
        <w:fldChar w:fldCharType="begin"/>
      </w:r>
      <w:r w:rsidRPr="005478A0">
        <w:rPr>
          <w:rFonts w:ascii="Arial" w:hAnsi="Arial" w:cs="Arial"/>
          <w:sz w:val="22"/>
          <w:szCs w:val="22"/>
        </w:rPr>
        <w:instrText xml:space="preserve"> XE "</w:instrText>
      </w:r>
      <w:r w:rsidRPr="005478A0">
        <w:rPr>
          <w:rFonts w:ascii="Arial" w:hAnsi="Arial" w:cs="Arial"/>
          <w:b/>
          <w:sz w:val="22"/>
          <w:szCs w:val="22"/>
        </w:rPr>
        <w:instrText>Finance</w:instrText>
      </w:r>
      <w:r w:rsidRPr="005478A0">
        <w:rPr>
          <w:rFonts w:ascii="Arial" w:hAnsi="Arial" w:cs="Arial"/>
          <w:sz w:val="22"/>
          <w:szCs w:val="22"/>
        </w:rPr>
        <w:instrText xml:space="preserve">" </w:instrText>
      </w:r>
      <w:r w:rsidRPr="005478A0">
        <w:rPr>
          <w:rFonts w:ascii="Arial" w:hAnsi="Arial" w:cs="Arial"/>
          <w:b/>
          <w:sz w:val="22"/>
          <w:szCs w:val="22"/>
        </w:rPr>
        <w:fldChar w:fldCharType="end"/>
      </w:r>
      <w:r w:rsidRPr="005478A0">
        <w:rPr>
          <w:rFonts w:ascii="Arial" w:hAnsi="Arial" w:cs="Arial"/>
          <w:b/>
          <w:sz w:val="22"/>
          <w:szCs w:val="22"/>
        </w:rPr>
        <w:t>:</w:t>
      </w:r>
    </w:p>
    <w:p w:rsidR="005478A0" w:rsidRDefault="005478A0" w:rsidP="005478A0">
      <w:pPr>
        <w:spacing w:before="100" w:beforeAutospacing="1" w:after="100" w:afterAutospacing="1" w:line="276" w:lineRule="auto"/>
        <w:ind w:left="709" w:firstLine="11"/>
        <w:jc w:val="both"/>
        <w:rPr>
          <w:rFonts w:ascii="Arial" w:hAnsi="Arial" w:cs="Arial"/>
          <w:color w:val="000000" w:themeColor="text1"/>
          <w:sz w:val="22"/>
          <w:szCs w:val="22"/>
        </w:rPr>
      </w:pPr>
      <w:r w:rsidRPr="005478A0">
        <w:rPr>
          <w:rFonts w:ascii="Arial" w:hAnsi="Arial" w:cs="Arial"/>
          <w:color w:val="000000"/>
          <w:sz w:val="22"/>
          <w:szCs w:val="22"/>
          <w:lang w:eastAsia="en-ZA"/>
        </w:rPr>
        <w:t>What (a) is the comparative increase in rand amount and percentage, year on year, in equitable share provision for (i) Dr Beyers Naudé, (ii) Makana, (iii) Ndlambe, (iv) Sundays River Valley and (v) Blue Crane Route Local Municipalities from 2015-16 to 2019-20 financial years and (b) are the determining factors on which the calculation in increase was made</w:t>
      </w:r>
      <w:r w:rsidRPr="005478A0">
        <w:rPr>
          <w:rFonts w:ascii="Arial" w:hAnsi="Arial" w:cs="Arial"/>
          <w:color w:val="000000" w:themeColor="text1"/>
          <w:sz w:val="22"/>
          <w:szCs w:val="22"/>
        </w:rPr>
        <w:t>?</w:t>
      </w:r>
      <w:r w:rsidRPr="005478A0">
        <w:rPr>
          <w:rFonts w:ascii="Arial" w:hAnsi="Arial" w:cs="Arial"/>
          <w:color w:val="000000" w:themeColor="text1"/>
          <w:sz w:val="22"/>
          <w:szCs w:val="22"/>
        </w:rPr>
        <w:tab/>
      </w:r>
      <w:r w:rsidRPr="005478A0">
        <w:rPr>
          <w:rFonts w:ascii="Arial" w:hAnsi="Arial" w:cs="Arial"/>
          <w:color w:val="000000" w:themeColor="text1"/>
          <w:sz w:val="22"/>
          <w:szCs w:val="22"/>
        </w:rPr>
        <w:tab/>
      </w:r>
      <w:r w:rsidRPr="005478A0">
        <w:rPr>
          <w:rFonts w:ascii="Arial" w:hAnsi="Arial" w:cs="Arial"/>
          <w:color w:val="000000" w:themeColor="text1"/>
          <w:sz w:val="22"/>
          <w:szCs w:val="22"/>
        </w:rPr>
        <w:tab/>
      </w:r>
    </w:p>
    <w:p w:rsidR="005478A0" w:rsidRPr="005478A0" w:rsidRDefault="005478A0" w:rsidP="005478A0">
      <w:pPr>
        <w:spacing w:before="100" w:beforeAutospacing="1" w:after="100" w:afterAutospacing="1" w:line="276" w:lineRule="auto"/>
        <w:ind w:left="709" w:firstLine="11"/>
        <w:jc w:val="both"/>
        <w:rPr>
          <w:rFonts w:ascii="Arial" w:eastAsiaTheme="minorHAnsi" w:hAnsi="Arial" w:cs="Arial"/>
          <w:sz w:val="22"/>
          <w:szCs w:val="22"/>
          <w:lang w:val="en-ZA"/>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5478A0">
        <w:rPr>
          <w:rFonts w:ascii="Arial" w:hAnsi="Arial" w:cs="Arial"/>
          <w:color w:val="000000" w:themeColor="text1"/>
          <w:sz w:val="22"/>
          <w:szCs w:val="22"/>
        </w:rPr>
        <w:tab/>
      </w:r>
      <w:r w:rsidRPr="005478A0">
        <w:rPr>
          <w:rFonts w:ascii="Arial" w:hAnsi="Arial" w:cs="Arial"/>
          <w:color w:val="000000" w:themeColor="text1"/>
          <w:sz w:val="22"/>
          <w:szCs w:val="22"/>
        </w:rPr>
        <w:tab/>
      </w:r>
      <w:r w:rsidRPr="005478A0">
        <w:rPr>
          <w:rFonts w:ascii="Arial" w:hAnsi="Arial" w:cs="Arial"/>
          <w:color w:val="000000" w:themeColor="text1"/>
          <w:sz w:val="22"/>
          <w:szCs w:val="22"/>
        </w:rPr>
        <w:tab/>
      </w:r>
      <w:r w:rsidRPr="005478A0">
        <w:rPr>
          <w:rFonts w:ascii="Arial" w:hAnsi="Arial" w:cs="Arial"/>
          <w:color w:val="000000" w:themeColor="text1"/>
          <w:sz w:val="22"/>
          <w:szCs w:val="22"/>
        </w:rPr>
        <w:tab/>
      </w:r>
      <w:r w:rsidRPr="005478A0">
        <w:rPr>
          <w:rFonts w:ascii="Arial" w:hAnsi="Arial" w:cs="Arial"/>
          <w:color w:val="000000" w:themeColor="text1"/>
          <w:sz w:val="22"/>
          <w:szCs w:val="22"/>
        </w:rPr>
        <w:tab/>
        <w:t>NW360E</w:t>
      </w:r>
    </w:p>
    <w:p w:rsidR="008E3D62" w:rsidRPr="005478A0" w:rsidRDefault="008B09D4" w:rsidP="005478A0">
      <w:pPr>
        <w:spacing w:before="100" w:beforeAutospacing="1" w:after="100" w:afterAutospacing="1" w:line="276" w:lineRule="auto"/>
        <w:jc w:val="both"/>
        <w:outlineLvl w:val="0"/>
        <w:rPr>
          <w:rFonts w:ascii="Arial" w:hAnsi="Arial" w:cs="Arial"/>
          <w:sz w:val="22"/>
          <w:szCs w:val="22"/>
        </w:rPr>
      </w:pPr>
      <w:r w:rsidRPr="005478A0">
        <w:rPr>
          <w:rFonts w:ascii="Arial" w:hAnsi="Arial" w:cs="Arial"/>
          <w:b/>
          <w:sz w:val="22"/>
          <w:szCs w:val="22"/>
        </w:rPr>
        <w:t xml:space="preserve"> </w:t>
      </w:r>
      <w:r w:rsidR="008E3D62" w:rsidRPr="005478A0">
        <w:rPr>
          <w:rFonts w:ascii="Arial" w:hAnsi="Arial" w:cs="Arial"/>
          <w:b/>
          <w:sz w:val="22"/>
          <w:szCs w:val="22"/>
        </w:rPr>
        <w:t>REPLY</w:t>
      </w:r>
      <w:r w:rsidR="008E3D62" w:rsidRPr="005478A0">
        <w:rPr>
          <w:rFonts w:ascii="Arial" w:hAnsi="Arial" w:cs="Arial"/>
          <w:sz w:val="22"/>
          <w:szCs w:val="22"/>
        </w:rPr>
        <w:t>:</w:t>
      </w:r>
    </w:p>
    <w:p w:rsidR="00566101" w:rsidRPr="008D4D35" w:rsidRDefault="00566101" w:rsidP="008D4D35">
      <w:pPr>
        <w:tabs>
          <w:tab w:val="left" w:pos="432"/>
          <w:tab w:val="left" w:pos="864"/>
        </w:tabs>
        <w:spacing w:line="276" w:lineRule="auto"/>
        <w:rPr>
          <w:rFonts w:ascii="Arial" w:hAnsi="Arial" w:cs="Arial"/>
          <w:b/>
          <w:sz w:val="22"/>
          <w:szCs w:val="22"/>
          <w:u w:val="single"/>
        </w:rPr>
      </w:pPr>
    </w:p>
    <w:p w:rsidR="003D1F8B" w:rsidRDefault="003D1F8B" w:rsidP="003D1F8B">
      <w:pPr>
        <w:pStyle w:val="ListParagraph"/>
        <w:numPr>
          <w:ilvl w:val="0"/>
          <w:numId w:val="13"/>
        </w:numPr>
        <w:spacing w:after="200" w:line="276" w:lineRule="auto"/>
        <w:ind w:left="426" w:hanging="437"/>
        <w:jc w:val="both"/>
        <w:rPr>
          <w:rFonts w:ascii="Arial" w:hAnsi="Arial" w:cs="Arial"/>
          <w:b/>
          <w:i/>
        </w:rPr>
      </w:pPr>
      <w:r>
        <w:rPr>
          <w:rFonts w:ascii="Arial" w:hAnsi="Arial" w:cs="Arial"/>
          <w:b/>
          <w:i/>
        </w:rPr>
        <w:t>The t</w:t>
      </w:r>
      <w:r w:rsidRPr="008E4E3D">
        <w:rPr>
          <w:rFonts w:ascii="Arial" w:hAnsi="Arial" w:cs="Arial"/>
          <w:b/>
          <w:i/>
        </w:rPr>
        <w:t xml:space="preserve">ables below show the year on year rand amount increases/decreases and growth rates for the five municipalities. </w:t>
      </w:r>
    </w:p>
    <w:p w:rsidR="00566101" w:rsidRPr="008D4D35" w:rsidRDefault="00566101" w:rsidP="008D4D35">
      <w:pPr>
        <w:tabs>
          <w:tab w:val="left" w:pos="432"/>
          <w:tab w:val="left" w:pos="864"/>
        </w:tabs>
        <w:spacing w:line="276" w:lineRule="auto"/>
        <w:rPr>
          <w:rFonts w:ascii="Arial" w:hAnsi="Arial" w:cs="Arial"/>
          <w:b/>
          <w:sz w:val="22"/>
          <w:szCs w:val="22"/>
          <w:u w:val="single"/>
        </w:rPr>
      </w:pPr>
    </w:p>
    <w:p w:rsidR="00566101" w:rsidRDefault="003D1F8B" w:rsidP="00432088">
      <w:pPr>
        <w:tabs>
          <w:tab w:val="left" w:pos="432"/>
          <w:tab w:val="left" w:pos="864"/>
        </w:tabs>
        <w:spacing w:line="276" w:lineRule="auto"/>
        <w:ind w:hanging="567"/>
        <w:rPr>
          <w:rFonts w:ascii="Arial" w:hAnsi="Arial" w:cs="Arial"/>
          <w:b/>
          <w:sz w:val="22"/>
          <w:szCs w:val="22"/>
          <w:u w:val="single"/>
        </w:rPr>
      </w:pPr>
      <w:bookmarkStart w:id="1" w:name="_GoBack"/>
      <w:r w:rsidRPr="003D1F8B">
        <w:rPr>
          <w:noProof/>
        </w:rPr>
        <w:drawing>
          <wp:inline distT="0" distB="0" distL="0" distR="0">
            <wp:extent cx="6894746" cy="23996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2680" cy="2409387"/>
                    </a:xfrm>
                    <a:prstGeom prst="rect">
                      <a:avLst/>
                    </a:prstGeom>
                    <a:noFill/>
                    <a:ln>
                      <a:noFill/>
                    </a:ln>
                  </pic:spPr>
                </pic:pic>
              </a:graphicData>
            </a:graphic>
          </wp:inline>
        </w:drawing>
      </w:r>
      <w:bookmarkEnd w:id="1"/>
    </w:p>
    <w:p w:rsidR="00432088" w:rsidRPr="008D4D35" w:rsidRDefault="00432088" w:rsidP="00432088">
      <w:pPr>
        <w:tabs>
          <w:tab w:val="left" w:pos="432"/>
          <w:tab w:val="left" w:pos="864"/>
        </w:tabs>
        <w:spacing w:line="276" w:lineRule="auto"/>
        <w:ind w:hanging="567"/>
        <w:rPr>
          <w:rFonts w:ascii="Arial" w:hAnsi="Arial" w:cs="Arial"/>
          <w:b/>
          <w:sz w:val="22"/>
          <w:szCs w:val="22"/>
          <w:u w:val="single"/>
        </w:rPr>
      </w:pPr>
    </w:p>
    <w:p w:rsidR="00432088" w:rsidRDefault="003D1F8B" w:rsidP="00B457CD">
      <w:pPr>
        <w:numPr>
          <w:ilvl w:val="0"/>
          <w:numId w:val="13"/>
        </w:numPr>
        <w:spacing w:after="200" w:line="276" w:lineRule="auto"/>
        <w:ind w:left="426" w:hanging="437"/>
        <w:contextualSpacing/>
        <w:jc w:val="both"/>
        <w:rPr>
          <w:rFonts w:ascii="Arial" w:eastAsia="Calibri" w:hAnsi="Arial" w:cs="Arial"/>
          <w:b/>
          <w:i/>
          <w:sz w:val="22"/>
          <w:szCs w:val="22"/>
        </w:rPr>
      </w:pPr>
      <w:r w:rsidRPr="003D1F8B">
        <w:rPr>
          <w:rFonts w:ascii="Arial" w:eastAsia="Calibri" w:hAnsi="Arial" w:cs="Arial"/>
          <w:b/>
          <w:i/>
          <w:sz w:val="22"/>
          <w:szCs w:val="22"/>
        </w:rPr>
        <w:t>Factors used to determine allocations to municipalities</w:t>
      </w:r>
    </w:p>
    <w:p w:rsidR="00432088" w:rsidRPr="00432088" w:rsidRDefault="00432088" w:rsidP="00432088">
      <w:pPr>
        <w:spacing w:after="200" w:line="276" w:lineRule="auto"/>
        <w:ind w:left="426"/>
        <w:contextualSpacing/>
        <w:jc w:val="both"/>
        <w:rPr>
          <w:rFonts w:ascii="Arial" w:eastAsia="Calibri" w:hAnsi="Arial" w:cs="Arial"/>
          <w:b/>
          <w:i/>
          <w:sz w:val="22"/>
          <w:szCs w:val="22"/>
        </w:rPr>
      </w:pPr>
    </w:p>
    <w:p w:rsidR="00B457CD" w:rsidRPr="003D1F8B" w:rsidRDefault="00B457CD" w:rsidP="00B457CD">
      <w:pPr>
        <w:spacing w:after="200" w:line="276" w:lineRule="auto"/>
        <w:jc w:val="both"/>
        <w:rPr>
          <w:rFonts w:ascii="Arial" w:eastAsia="Calibri" w:hAnsi="Arial" w:cs="Arial"/>
          <w:b/>
          <w:sz w:val="22"/>
          <w:szCs w:val="22"/>
        </w:rPr>
      </w:pPr>
      <w:r w:rsidRPr="003D1F8B">
        <w:rPr>
          <w:rFonts w:ascii="Arial" w:eastAsia="Calibri" w:hAnsi="Arial" w:cs="Arial"/>
          <w:b/>
          <w:sz w:val="22"/>
          <w:szCs w:val="22"/>
        </w:rPr>
        <w:t>Standard determining factors</w:t>
      </w:r>
    </w:p>
    <w:p w:rsidR="00B457CD" w:rsidRPr="003D1F8B" w:rsidRDefault="00B457CD" w:rsidP="00B457CD">
      <w:pPr>
        <w:spacing w:after="200" w:line="276" w:lineRule="auto"/>
        <w:jc w:val="both"/>
        <w:rPr>
          <w:rFonts w:ascii="Arial" w:eastAsia="Calibri" w:hAnsi="Arial" w:cs="Arial"/>
          <w:sz w:val="22"/>
          <w:szCs w:val="22"/>
        </w:rPr>
      </w:pPr>
      <w:r w:rsidRPr="003D1F8B">
        <w:rPr>
          <w:rFonts w:ascii="Arial" w:eastAsia="Calibri" w:hAnsi="Arial" w:cs="Arial"/>
          <w:sz w:val="22"/>
          <w:szCs w:val="22"/>
        </w:rPr>
        <w:t>With respect to the formula allocations, demographic and other data is used to determine each municipality’s portion of the local government equitable share.</w:t>
      </w:r>
    </w:p>
    <w:p w:rsidR="00B457CD" w:rsidRPr="003D1F8B" w:rsidRDefault="00B457CD" w:rsidP="00B457CD">
      <w:pPr>
        <w:numPr>
          <w:ilvl w:val="0"/>
          <w:numId w:val="15"/>
        </w:numPr>
        <w:spacing w:after="200" w:line="276" w:lineRule="auto"/>
        <w:contextualSpacing/>
        <w:jc w:val="both"/>
        <w:rPr>
          <w:rFonts w:ascii="Arial" w:eastAsia="Calibri" w:hAnsi="Arial" w:cs="Arial"/>
          <w:sz w:val="22"/>
          <w:szCs w:val="22"/>
        </w:rPr>
      </w:pPr>
      <w:r w:rsidRPr="003D1F8B">
        <w:rPr>
          <w:rFonts w:ascii="Arial" w:eastAsia="Calibri" w:hAnsi="Arial" w:cs="Arial"/>
          <w:sz w:val="22"/>
          <w:szCs w:val="22"/>
        </w:rPr>
        <w:lastRenderedPageBreak/>
        <w:t>The proportion of households below the affordability threshold in each municipality is based on 2011 Census data. Using data from the annual General Household Survey, the total number of households in each municipality is then adjusted every year.</w:t>
      </w:r>
    </w:p>
    <w:p w:rsidR="00B457CD" w:rsidRPr="003D1F8B" w:rsidRDefault="00B457CD" w:rsidP="00B457CD">
      <w:pPr>
        <w:numPr>
          <w:ilvl w:val="0"/>
          <w:numId w:val="15"/>
        </w:numPr>
        <w:spacing w:after="200" w:line="276" w:lineRule="auto"/>
        <w:contextualSpacing/>
        <w:jc w:val="both"/>
        <w:rPr>
          <w:rFonts w:ascii="Arial" w:eastAsia="Calibri" w:hAnsi="Arial" w:cs="Arial"/>
          <w:sz w:val="22"/>
          <w:szCs w:val="22"/>
        </w:rPr>
      </w:pPr>
      <w:r w:rsidRPr="003D1F8B">
        <w:rPr>
          <w:rFonts w:ascii="Arial" w:eastAsia="Calibri" w:hAnsi="Arial" w:cs="Arial"/>
          <w:sz w:val="22"/>
          <w:szCs w:val="22"/>
        </w:rPr>
        <w:t>Bulk water costs are updated based on the average increase in bulk tariffs charged by water boards.</w:t>
      </w:r>
    </w:p>
    <w:p w:rsidR="00B457CD" w:rsidRPr="003D1F8B" w:rsidRDefault="00B457CD" w:rsidP="00B457CD">
      <w:pPr>
        <w:numPr>
          <w:ilvl w:val="0"/>
          <w:numId w:val="15"/>
        </w:numPr>
        <w:spacing w:after="200" w:line="276" w:lineRule="auto"/>
        <w:contextualSpacing/>
        <w:jc w:val="both"/>
        <w:rPr>
          <w:rFonts w:ascii="Arial" w:eastAsia="Calibri" w:hAnsi="Arial" w:cs="Arial"/>
          <w:sz w:val="22"/>
          <w:szCs w:val="22"/>
        </w:rPr>
      </w:pPr>
      <w:r w:rsidRPr="003D1F8B">
        <w:rPr>
          <w:rFonts w:ascii="Arial" w:eastAsia="Calibri" w:hAnsi="Arial" w:cs="Arial"/>
          <w:sz w:val="22"/>
          <w:szCs w:val="22"/>
        </w:rPr>
        <w:t>Bulk electricity costs are updated based on the bulk price determination approved by the National Energy Regulator of South Africa.</w:t>
      </w:r>
    </w:p>
    <w:p w:rsidR="00B457CD" w:rsidRDefault="00B457CD" w:rsidP="00B457CD">
      <w:pPr>
        <w:numPr>
          <w:ilvl w:val="0"/>
          <w:numId w:val="15"/>
        </w:numPr>
        <w:spacing w:before="240" w:after="200" w:line="276" w:lineRule="auto"/>
        <w:contextualSpacing/>
        <w:jc w:val="both"/>
        <w:rPr>
          <w:rFonts w:ascii="Arial" w:eastAsia="Calibri" w:hAnsi="Arial" w:cs="Arial"/>
          <w:b/>
          <w:sz w:val="22"/>
          <w:szCs w:val="22"/>
        </w:rPr>
      </w:pPr>
      <w:r w:rsidRPr="003D1F8B">
        <w:rPr>
          <w:rFonts w:ascii="Arial" w:eastAsia="Calibri" w:hAnsi="Arial" w:cs="Arial"/>
          <w:sz w:val="22"/>
          <w:szCs w:val="22"/>
        </w:rPr>
        <w:t>All other costs are updated based on the National Treasury’s inflation projections</w:t>
      </w:r>
      <w:r>
        <w:rPr>
          <w:rFonts w:ascii="Arial" w:eastAsia="Calibri" w:hAnsi="Arial" w:cs="Arial"/>
          <w:b/>
          <w:sz w:val="22"/>
          <w:szCs w:val="22"/>
        </w:rPr>
        <w:t>.</w:t>
      </w:r>
    </w:p>
    <w:p w:rsidR="00B457CD" w:rsidRPr="003D1F8B" w:rsidRDefault="00B457CD" w:rsidP="00B457CD">
      <w:pPr>
        <w:spacing w:before="240" w:after="200" w:line="276" w:lineRule="auto"/>
        <w:ind w:left="360"/>
        <w:contextualSpacing/>
        <w:jc w:val="both"/>
        <w:rPr>
          <w:rFonts w:ascii="Arial" w:eastAsia="Calibri" w:hAnsi="Arial" w:cs="Arial"/>
          <w:b/>
          <w:sz w:val="22"/>
          <w:szCs w:val="22"/>
        </w:rPr>
      </w:pPr>
    </w:p>
    <w:p w:rsidR="00B457CD" w:rsidRPr="003D1F8B" w:rsidRDefault="00B457CD" w:rsidP="00B457CD">
      <w:pPr>
        <w:spacing w:after="200" w:line="276" w:lineRule="auto"/>
        <w:jc w:val="both"/>
        <w:rPr>
          <w:rFonts w:ascii="Arial" w:eastAsia="Calibri" w:hAnsi="Arial" w:cs="Arial"/>
          <w:sz w:val="22"/>
          <w:szCs w:val="22"/>
        </w:rPr>
      </w:pPr>
      <w:r w:rsidRPr="003D1F8B">
        <w:rPr>
          <w:rFonts w:ascii="Arial" w:eastAsia="Calibri" w:hAnsi="Arial" w:cs="Arial"/>
          <w:sz w:val="22"/>
          <w:szCs w:val="22"/>
        </w:rPr>
        <w:t>A detailed explanation of the above can be found in Annexure W1 of the Division of Revenue Bill,</w:t>
      </w:r>
      <w:r>
        <w:rPr>
          <w:rFonts w:ascii="Arial" w:eastAsia="Calibri" w:hAnsi="Arial" w:cs="Arial"/>
          <w:sz w:val="22"/>
          <w:szCs w:val="22"/>
        </w:rPr>
        <w:t xml:space="preserve"> </w:t>
      </w:r>
      <w:r w:rsidRPr="003D1F8B">
        <w:rPr>
          <w:rFonts w:ascii="Arial" w:eastAsia="Calibri" w:hAnsi="Arial" w:cs="Arial"/>
          <w:sz w:val="22"/>
          <w:szCs w:val="22"/>
        </w:rPr>
        <w:t>2</w:t>
      </w:r>
      <w:r w:rsidR="0006340D">
        <w:rPr>
          <w:rFonts w:ascii="Arial" w:eastAsia="Calibri" w:hAnsi="Arial" w:cs="Arial"/>
          <w:sz w:val="22"/>
          <w:szCs w:val="22"/>
        </w:rPr>
        <w:t xml:space="preserve">019 </w:t>
      </w:r>
      <w:r w:rsidRPr="003D1F8B">
        <w:rPr>
          <w:rFonts w:ascii="Arial" w:eastAsia="Calibri" w:hAnsi="Arial" w:cs="Arial"/>
          <w:sz w:val="22"/>
          <w:szCs w:val="22"/>
        </w:rPr>
        <w:t>and more details of how costs are estimated can be found in the ‘discussion paper on the proposed structure of the new local government equitable share formula’ (published in 2013)</w:t>
      </w:r>
      <w:r w:rsidR="0006340D">
        <w:rPr>
          <w:rFonts w:ascii="Arial" w:eastAsia="Calibri" w:hAnsi="Arial" w:cs="Arial"/>
          <w:sz w:val="22"/>
          <w:szCs w:val="22"/>
        </w:rPr>
        <w:t>. All of this information</w:t>
      </w:r>
      <w:r w:rsidRPr="003D1F8B">
        <w:rPr>
          <w:rFonts w:ascii="Arial" w:eastAsia="Calibri" w:hAnsi="Arial" w:cs="Arial"/>
          <w:sz w:val="22"/>
          <w:szCs w:val="22"/>
        </w:rPr>
        <w:t xml:space="preserve"> available on the National Treasury website.</w:t>
      </w:r>
      <w:r w:rsidR="0006340D">
        <w:rPr>
          <w:rFonts w:ascii="Arial" w:eastAsia="Calibri" w:hAnsi="Arial" w:cs="Arial"/>
          <w:sz w:val="22"/>
          <w:szCs w:val="22"/>
        </w:rPr>
        <w:t xml:space="preserve"> All of the data used in each year’s calculation of the LGES allocations is also published in a summary spreadsheet. </w:t>
      </w:r>
    </w:p>
    <w:p w:rsidR="003D1F8B" w:rsidRPr="003D1F8B" w:rsidRDefault="003D1F8B" w:rsidP="003D1F8B">
      <w:pPr>
        <w:spacing w:after="200" w:line="276" w:lineRule="auto"/>
        <w:jc w:val="both"/>
        <w:rPr>
          <w:rFonts w:ascii="Arial" w:eastAsia="Calibri" w:hAnsi="Arial" w:cs="Arial"/>
          <w:b/>
          <w:sz w:val="22"/>
          <w:szCs w:val="22"/>
        </w:rPr>
      </w:pPr>
      <w:r w:rsidRPr="003D1F8B">
        <w:rPr>
          <w:rFonts w:ascii="Arial" w:eastAsia="Calibri" w:hAnsi="Arial" w:cs="Arial"/>
          <w:b/>
          <w:sz w:val="22"/>
          <w:szCs w:val="22"/>
        </w:rPr>
        <w:t>Decline of allocations to Dr Beyers Naudé Local Municipality between 2015/16 and 2017/18</w:t>
      </w:r>
    </w:p>
    <w:p w:rsidR="003D1F8B" w:rsidRPr="003D1F8B" w:rsidRDefault="003D1F8B" w:rsidP="003D1F8B">
      <w:pPr>
        <w:spacing w:after="200" w:line="276" w:lineRule="auto"/>
        <w:jc w:val="both"/>
        <w:rPr>
          <w:rFonts w:ascii="Arial" w:eastAsia="Calibri" w:hAnsi="Arial" w:cs="Arial"/>
          <w:sz w:val="22"/>
          <w:szCs w:val="22"/>
        </w:rPr>
      </w:pPr>
      <w:r w:rsidRPr="003D1F8B">
        <w:rPr>
          <w:rFonts w:ascii="Arial" w:eastAsia="Calibri" w:hAnsi="Arial" w:cs="Arial"/>
          <w:sz w:val="22"/>
          <w:szCs w:val="22"/>
        </w:rPr>
        <w:t xml:space="preserve">The decline of the allocations to the Dr Beyers Naudé municipality between 2015/16 and 2017/18 is largely a result of the 2016 re-demarcations, which saw the merger of </w:t>
      </w:r>
      <w:r w:rsidR="00B457CD">
        <w:rPr>
          <w:rFonts w:ascii="Arial" w:eastAsia="Calibri" w:hAnsi="Arial" w:cs="Arial"/>
          <w:sz w:val="22"/>
          <w:szCs w:val="22"/>
        </w:rPr>
        <w:t>Camdeboo, Baviaans and</w:t>
      </w:r>
      <w:r w:rsidRPr="003D1F8B">
        <w:rPr>
          <w:rFonts w:ascii="Arial" w:eastAsia="Calibri" w:hAnsi="Arial" w:cs="Arial"/>
          <w:sz w:val="22"/>
          <w:szCs w:val="22"/>
        </w:rPr>
        <w:t xml:space="preserve"> Ikwezi local municipalities into this municipality. Some elements in the structure of the local government equitable share (LGES) formula and related allocations resulted in allocations to the newly merged municipality being less than the sum of the allocations to the preceding, separate municipalities:</w:t>
      </w:r>
    </w:p>
    <w:p w:rsidR="003D1F8B" w:rsidRPr="003D1F8B" w:rsidRDefault="003D1F8B" w:rsidP="003D1F8B">
      <w:pPr>
        <w:numPr>
          <w:ilvl w:val="0"/>
          <w:numId w:val="14"/>
        </w:numPr>
        <w:spacing w:after="200" w:line="276" w:lineRule="auto"/>
        <w:ind w:left="426" w:hanging="426"/>
        <w:contextualSpacing/>
        <w:jc w:val="both"/>
        <w:rPr>
          <w:rFonts w:ascii="Arial" w:eastAsia="Calibri" w:hAnsi="Arial" w:cs="Arial"/>
          <w:sz w:val="22"/>
          <w:szCs w:val="22"/>
        </w:rPr>
      </w:pPr>
      <w:r w:rsidRPr="003D1F8B">
        <w:rPr>
          <w:rFonts w:ascii="Arial" w:eastAsia="Calibri" w:hAnsi="Arial" w:cs="Arial"/>
          <w:sz w:val="22"/>
          <w:szCs w:val="22"/>
        </w:rPr>
        <w:t>The institutional component of the LGES formula includes a fixed base allocation for all municipalities. In 2016/17, this meant the newly formed municipality received a single base allocation of R5.9 million, not 3 (R17.7 million) as they would have as separate municipalities.</w:t>
      </w:r>
    </w:p>
    <w:p w:rsidR="003D1F8B" w:rsidRPr="003D1F8B" w:rsidRDefault="003D1F8B" w:rsidP="003D1F8B">
      <w:pPr>
        <w:spacing w:after="200" w:line="276" w:lineRule="auto"/>
        <w:ind w:left="426"/>
        <w:contextualSpacing/>
        <w:jc w:val="both"/>
        <w:rPr>
          <w:rFonts w:ascii="Arial" w:eastAsia="Calibri" w:hAnsi="Arial" w:cs="Arial"/>
          <w:sz w:val="22"/>
          <w:szCs w:val="22"/>
        </w:rPr>
      </w:pPr>
    </w:p>
    <w:p w:rsidR="003D1F8B" w:rsidRDefault="003D1F8B" w:rsidP="003D1F8B">
      <w:pPr>
        <w:numPr>
          <w:ilvl w:val="0"/>
          <w:numId w:val="14"/>
        </w:numPr>
        <w:spacing w:before="240" w:after="200" w:line="276" w:lineRule="auto"/>
        <w:ind w:left="426" w:hanging="426"/>
        <w:contextualSpacing/>
        <w:jc w:val="both"/>
        <w:rPr>
          <w:rFonts w:ascii="Arial" w:eastAsia="Calibri" w:hAnsi="Arial" w:cs="Arial"/>
          <w:sz w:val="22"/>
          <w:szCs w:val="22"/>
        </w:rPr>
      </w:pPr>
      <w:r w:rsidRPr="003D1F8B">
        <w:rPr>
          <w:rFonts w:ascii="Arial" w:eastAsia="Calibri" w:hAnsi="Arial" w:cs="Arial"/>
          <w:sz w:val="22"/>
          <w:szCs w:val="22"/>
        </w:rPr>
        <w:t xml:space="preserve">The subsidisation of the salaries of councilors (calculated outside of the LGES formula) is at a sliding scale, with the highest level of support provided to grade 1 municipalities. As these municipalities were previously grades 3, 2 and 1 respectively, the newly merged municipality, which was graded at level 3, </w:t>
      </w:r>
      <w:r w:rsidR="005C7D84">
        <w:rPr>
          <w:rFonts w:ascii="Arial" w:eastAsia="Calibri" w:hAnsi="Arial" w:cs="Arial"/>
          <w:sz w:val="22"/>
          <w:szCs w:val="22"/>
        </w:rPr>
        <w:t>has a smaller number of councilors than the 3 previous municipalities and therefore receives</w:t>
      </w:r>
      <w:r w:rsidRPr="003D1F8B">
        <w:rPr>
          <w:rFonts w:ascii="Arial" w:eastAsia="Calibri" w:hAnsi="Arial" w:cs="Arial"/>
          <w:sz w:val="22"/>
          <w:szCs w:val="22"/>
        </w:rPr>
        <w:t xml:space="preserve"> less special support for councilor remuneration and ward committees.</w:t>
      </w:r>
    </w:p>
    <w:p w:rsidR="003D1F8B" w:rsidRPr="003D1F8B" w:rsidRDefault="003D1F8B" w:rsidP="003D1F8B">
      <w:pPr>
        <w:spacing w:before="240" w:after="200" w:line="276" w:lineRule="auto"/>
        <w:contextualSpacing/>
        <w:jc w:val="both"/>
        <w:rPr>
          <w:rFonts w:ascii="Arial" w:eastAsia="Calibri" w:hAnsi="Arial" w:cs="Arial"/>
          <w:sz w:val="22"/>
          <w:szCs w:val="22"/>
        </w:rPr>
      </w:pPr>
    </w:p>
    <w:p w:rsidR="00566101" w:rsidRDefault="00566101" w:rsidP="005B6F0A">
      <w:pPr>
        <w:tabs>
          <w:tab w:val="left" w:pos="432"/>
          <w:tab w:val="left" w:pos="864"/>
        </w:tabs>
        <w:spacing w:line="276" w:lineRule="auto"/>
        <w:rPr>
          <w:rFonts w:ascii="Arial" w:hAnsi="Arial" w:cs="Arial"/>
          <w:b/>
          <w:sz w:val="22"/>
          <w:szCs w:val="22"/>
          <w:u w:val="single"/>
        </w:rPr>
      </w:pPr>
    </w:p>
    <w:sectPr w:rsidR="00566101" w:rsidSect="00580821">
      <w:pgSz w:w="12240" w:h="15840" w:code="1"/>
      <w:pgMar w:top="141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0A" w:rsidRDefault="003E020A" w:rsidP="00380E88">
      <w:r>
        <w:separator/>
      </w:r>
    </w:p>
  </w:endnote>
  <w:endnote w:type="continuationSeparator" w:id="0">
    <w:p w:rsidR="003E020A" w:rsidRDefault="003E020A"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0A" w:rsidRDefault="003E020A" w:rsidP="00380E88">
      <w:r>
        <w:separator/>
      </w:r>
    </w:p>
  </w:footnote>
  <w:footnote w:type="continuationSeparator" w:id="0">
    <w:p w:rsidR="003E020A" w:rsidRDefault="003E020A"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2033"/>
    <w:multiLevelType w:val="hybridMultilevel"/>
    <w:tmpl w:val="12746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34B4638"/>
    <w:multiLevelType w:val="hybridMultilevel"/>
    <w:tmpl w:val="16A07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440F5E"/>
    <w:multiLevelType w:val="hybridMultilevel"/>
    <w:tmpl w:val="805CC9F8"/>
    <w:lvl w:ilvl="0" w:tplc="068A18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5"/>
  </w:num>
  <w:num w:numId="5">
    <w:abstractNumId w:val="12"/>
  </w:num>
  <w:num w:numId="6">
    <w:abstractNumId w:val="2"/>
  </w:num>
  <w:num w:numId="7">
    <w:abstractNumId w:val="2"/>
  </w:num>
  <w:num w:numId="8">
    <w:abstractNumId w:val="13"/>
  </w:num>
  <w:num w:numId="9">
    <w:abstractNumId w:val="1"/>
  </w:num>
  <w:num w:numId="10">
    <w:abstractNumId w:val="6"/>
  </w:num>
  <w:num w:numId="11">
    <w:abstractNumId w:val="11"/>
  </w:num>
  <w:num w:numId="12">
    <w:abstractNumId w:val="8"/>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40D"/>
    <w:rsid w:val="00063E28"/>
    <w:rsid w:val="00082DDF"/>
    <w:rsid w:val="0008596C"/>
    <w:rsid w:val="000A3C32"/>
    <w:rsid w:val="000A57B1"/>
    <w:rsid w:val="000B16E9"/>
    <w:rsid w:val="000B555E"/>
    <w:rsid w:val="000C2BEF"/>
    <w:rsid w:val="000C3917"/>
    <w:rsid w:val="000C48D8"/>
    <w:rsid w:val="000D5DF7"/>
    <w:rsid w:val="000E1B36"/>
    <w:rsid w:val="000E5929"/>
    <w:rsid w:val="000F3B14"/>
    <w:rsid w:val="000F5178"/>
    <w:rsid w:val="00110946"/>
    <w:rsid w:val="00122C88"/>
    <w:rsid w:val="001269B9"/>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D1F8B"/>
    <w:rsid w:val="003D5A20"/>
    <w:rsid w:val="003E020A"/>
    <w:rsid w:val="003E2711"/>
    <w:rsid w:val="003E6A8B"/>
    <w:rsid w:val="003F1329"/>
    <w:rsid w:val="003F6A56"/>
    <w:rsid w:val="004018D7"/>
    <w:rsid w:val="00413ABE"/>
    <w:rsid w:val="00413C95"/>
    <w:rsid w:val="00427ECA"/>
    <w:rsid w:val="0043065E"/>
    <w:rsid w:val="00432088"/>
    <w:rsid w:val="00435EA2"/>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4E19"/>
    <w:rsid w:val="00580821"/>
    <w:rsid w:val="00587714"/>
    <w:rsid w:val="005A4B7A"/>
    <w:rsid w:val="005B6F0A"/>
    <w:rsid w:val="005C7D84"/>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1E0B"/>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26A9C"/>
    <w:rsid w:val="00733E0B"/>
    <w:rsid w:val="007359BF"/>
    <w:rsid w:val="00743F26"/>
    <w:rsid w:val="007505A9"/>
    <w:rsid w:val="00751942"/>
    <w:rsid w:val="00751A1E"/>
    <w:rsid w:val="007540E0"/>
    <w:rsid w:val="007544A8"/>
    <w:rsid w:val="0076668B"/>
    <w:rsid w:val="007749D9"/>
    <w:rsid w:val="00780F57"/>
    <w:rsid w:val="007914E0"/>
    <w:rsid w:val="007A32AF"/>
    <w:rsid w:val="007A78C0"/>
    <w:rsid w:val="007B1BA1"/>
    <w:rsid w:val="007C44DF"/>
    <w:rsid w:val="007C4690"/>
    <w:rsid w:val="007D4060"/>
    <w:rsid w:val="007E56A2"/>
    <w:rsid w:val="007F18AA"/>
    <w:rsid w:val="00800B54"/>
    <w:rsid w:val="00803AC4"/>
    <w:rsid w:val="00807B52"/>
    <w:rsid w:val="00813FF0"/>
    <w:rsid w:val="00817479"/>
    <w:rsid w:val="008223D4"/>
    <w:rsid w:val="008236EC"/>
    <w:rsid w:val="008270A1"/>
    <w:rsid w:val="008321A4"/>
    <w:rsid w:val="0084121D"/>
    <w:rsid w:val="00852DC3"/>
    <w:rsid w:val="008631A7"/>
    <w:rsid w:val="00876CBB"/>
    <w:rsid w:val="0088688A"/>
    <w:rsid w:val="00891265"/>
    <w:rsid w:val="00897498"/>
    <w:rsid w:val="00897F0B"/>
    <w:rsid w:val="008A25B9"/>
    <w:rsid w:val="008A3396"/>
    <w:rsid w:val="008B09D4"/>
    <w:rsid w:val="008B5DBC"/>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15D3C"/>
    <w:rsid w:val="00A23A3E"/>
    <w:rsid w:val="00A359DB"/>
    <w:rsid w:val="00A45496"/>
    <w:rsid w:val="00A45FE5"/>
    <w:rsid w:val="00A51431"/>
    <w:rsid w:val="00A525F0"/>
    <w:rsid w:val="00A566A2"/>
    <w:rsid w:val="00A5731A"/>
    <w:rsid w:val="00A677C3"/>
    <w:rsid w:val="00A72B9B"/>
    <w:rsid w:val="00A952EA"/>
    <w:rsid w:val="00AA4ED9"/>
    <w:rsid w:val="00AB2B8E"/>
    <w:rsid w:val="00AD00CE"/>
    <w:rsid w:val="00AD1B6E"/>
    <w:rsid w:val="00AD5C9B"/>
    <w:rsid w:val="00AE07DE"/>
    <w:rsid w:val="00B03AF4"/>
    <w:rsid w:val="00B03DD6"/>
    <w:rsid w:val="00B20E37"/>
    <w:rsid w:val="00B31AAE"/>
    <w:rsid w:val="00B35E0C"/>
    <w:rsid w:val="00B447E6"/>
    <w:rsid w:val="00B457CD"/>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066"/>
    <w:rsid w:val="00C472D6"/>
    <w:rsid w:val="00C526D5"/>
    <w:rsid w:val="00C60822"/>
    <w:rsid w:val="00C61072"/>
    <w:rsid w:val="00C876BD"/>
    <w:rsid w:val="00C87C5C"/>
    <w:rsid w:val="00C905A7"/>
    <w:rsid w:val="00CA2D1D"/>
    <w:rsid w:val="00CB034C"/>
    <w:rsid w:val="00CB4FDB"/>
    <w:rsid w:val="00CB51AD"/>
    <w:rsid w:val="00CC2F3E"/>
    <w:rsid w:val="00D005D1"/>
    <w:rsid w:val="00D01E04"/>
    <w:rsid w:val="00D05765"/>
    <w:rsid w:val="00D17D13"/>
    <w:rsid w:val="00D20E78"/>
    <w:rsid w:val="00D2724B"/>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650A"/>
    <w:rsid w:val="00DF7D10"/>
    <w:rsid w:val="00E01FF6"/>
    <w:rsid w:val="00E103FB"/>
    <w:rsid w:val="00E27625"/>
    <w:rsid w:val="00E359AC"/>
    <w:rsid w:val="00E37A36"/>
    <w:rsid w:val="00E42AEE"/>
    <w:rsid w:val="00E43A5D"/>
    <w:rsid w:val="00E533D0"/>
    <w:rsid w:val="00E55071"/>
    <w:rsid w:val="00E60EE1"/>
    <w:rsid w:val="00E72F99"/>
    <w:rsid w:val="00E77DF6"/>
    <w:rsid w:val="00E8352B"/>
    <w:rsid w:val="00EA468F"/>
    <w:rsid w:val="00EA6A49"/>
    <w:rsid w:val="00EA792E"/>
    <w:rsid w:val="00EB04E2"/>
    <w:rsid w:val="00EC4BF6"/>
    <w:rsid w:val="00ED3A3C"/>
    <w:rsid w:val="00F03C60"/>
    <w:rsid w:val="00F05CB1"/>
    <w:rsid w:val="00F201B8"/>
    <w:rsid w:val="00F33FD4"/>
    <w:rsid w:val="00F36709"/>
    <w:rsid w:val="00F47FDD"/>
    <w:rsid w:val="00F51C17"/>
    <w:rsid w:val="00F5571A"/>
    <w:rsid w:val="00F5647F"/>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41C4-98B2-4049-A451-822EE1D2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2020-03-06T10:58:00Z</cp:lastPrinted>
  <dcterms:created xsi:type="dcterms:W3CDTF">2020-05-21T20:49:00Z</dcterms:created>
  <dcterms:modified xsi:type="dcterms:W3CDTF">2020-05-21T20:49:00Z</dcterms:modified>
</cp:coreProperties>
</file>