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771CA7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914BED">
      <w:pPr>
        <w:tabs>
          <w:tab w:val="left" w:pos="5340"/>
        </w:tabs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54ADA">
        <w:rPr>
          <w:rFonts w:ascii="Arial" w:eastAsia="Arial Unicode MS" w:hAnsi="Arial" w:cs="Arial"/>
          <w:b/>
          <w:color w:val="000000"/>
          <w:u w:color="000000"/>
        </w:rPr>
        <w:t>2706</w:t>
      </w:r>
      <w:r w:rsidR="00914BED">
        <w:rPr>
          <w:rFonts w:ascii="Arial" w:eastAsia="Arial Unicode MS" w:hAnsi="Arial" w:cs="Arial"/>
          <w:b/>
          <w:color w:val="000000"/>
          <w:u w:color="000000"/>
        </w:rPr>
        <w:tab/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A54ADA">
        <w:rPr>
          <w:rFonts w:ascii="Arial" w:eastAsia="Arial Unicode MS" w:hAnsi="Arial" w:cs="Arial"/>
          <w:b/>
          <w:color w:val="000000"/>
          <w:u w:color="000000"/>
        </w:rPr>
        <w:t xml:space="preserve">7 September 2018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7E8" w:rsidRPr="001C37E8" w:rsidRDefault="00A54ADA" w:rsidP="001C37E8">
      <w:pPr>
        <w:spacing w:before="100" w:beforeAutospacing="1" w:after="100" w:afterAutospacing="1" w:line="276" w:lineRule="auto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b/>
          <w:bCs/>
          <w:lang w:val="af-ZA"/>
        </w:rPr>
        <w:t>Ms N K F Hlonyana (EFF</w:t>
      </w:r>
      <w:r w:rsidR="001C37E8" w:rsidRPr="001C37E8">
        <w:rPr>
          <w:rFonts w:ascii="Arial" w:hAnsi="Arial" w:cs="Arial"/>
          <w:b/>
          <w:bCs/>
          <w:lang w:val="af-ZA"/>
        </w:rPr>
        <w:t>) to ask the Minister of Economic Development:</w:t>
      </w:r>
    </w:p>
    <w:p w:rsidR="000F032E" w:rsidRPr="00C9430F" w:rsidRDefault="00C9430F" w:rsidP="00C9430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9430F">
        <w:rPr>
          <w:rFonts w:ascii="Arial" w:hAnsi="Arial" w:cs="Arial"/>
          <w:lang w:val="en-GB"/>
        </w:rPr>
        <w:t xml:space="preserve">What (i) is the total value of loans that the Industrial Development Corporation had to </w:t>
      </w:r>
      <w:r w:rsidRPr="00C9430F">
        <w:rPr>
          <w:rFonts w:ascii="Arial" w:hAnsi="Arial" w:cs="Arial"/>
          <w:lang w:val="en-GB" w:eastAsia="en-ZA"/>
        </w:rPr>
        <w:t>write</w:t>
      </w:r>
      <w:r w:rsidRPr="00C9430F">
        <w:rPr>
          <w:rFonts w:ascii="Arial" w:hAnsi="Arial" w:cs="Arial"/>
          <w:lang w:val="en-GB"/>
        </w:rPr>
        <w:t xml:space="preserve"> off in the past five financial years and (ii) was the value of each loan and (b) who was the recipient of each loan</w:t>
      </w:r>
      <w:r w:rsidRPr="00C9430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                   NW3000E </w:t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</w:r>
      <w:r w:rsidR="00040471" w:rsidRPr="00C9430F">
        <w:rPr>
          <w:rFonts w:ascii="Arial" w:hAnsi="Arial" w:cs="Arial"/>
        </w:rPr>
        <w:tab/>
        <w:t xml:space="preserve">                                                                 </w:t>
      </w:r>
      <w:r>
        <w:rPr>
          <w:rFonts w:ascii="Arial" w:hAnsi="Arial" w:cs="Arial"/>
        </w:rPr>
        <w:t xml:space="preserve">   </w:t>
      </w:r>
      <w:r w:rsidR="000F032E" w:rsidRPr="00C9430F">
        <w:rPr>
          <w:rFonts w:ascii="Arial" w:hAnsi="Arial" w:cs="Arial"/>
        </w:rPr>
        <w:tab/>
      </w:r>
      <w:r w:rsidR="000F032E" w:rsidRPr="00C9430F">
        <w:rPr>
          <w:rFonts w:ascii="Arial" w:hAnsi="Arial" w:cs="Arial"/>
        </w:rPr>
        <w:tab/>
      </w:r>
      <w:r w:rsidR="000F032E" w:rsidRPr="00C9430F">
        <w:rPr>
          <w:rFonts w:ascii="Arial" w:hAnsi="Arial" w:cs="Arial"/>
        </w:rPr>
        <w:tab/>
      </w:r>
      <w:r w:rsidR="000F032E" w:rsidRPr="00C9430F">
        <w:rPr>
          <w:rFonts w:ascii="Arial" w:hAnsi="Arial" w:cs="Arial"/>
          <w:lang w:val="en-ZA"/>
        </w:rPr>
        <w:t xml:space="preserve">                                                                     </w:t>
      </w:r>
      <w:r w:rsidR="0022183D" w:rsidRPr="00C9430F">
        <w:rPr>
          <w:rFonts w:ascii="Arial" w:hAnsi="Arial" w:cs="Arial"/>
          <w:lang w:val="en-ZA"/>
        </w:rPr>
        <w:t xml:space="preserve">      </w:t>
      </w:r>
    </w:p>
    <w:p w:rsidR="001C37E8" w:rsidRDefault="00494C9B" w:rsidP="00C9430F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  <w:lang w:val="en-ZA"/>
        </w:rPr>
      </w:pPr>
      <w:r w:rsidRPr="00664CF9">
        <w:rPr>
          <w:rFonts w:ascii="Arial" w:hAnsi="Arial" w:cs="Arial"/>
          <w:b/>
          <w:szCs w:val="24"/>
        </w:rPr>
        <w:t>REPLY</w:t>
      </w:r>
      <w:r w:rsidR="00C9430F">
        <w:rPr>
          <w:rFonts w:ascii="Arial" w:hAnsi="Arial" w:cs="Arial"/>
          <w:b/>
          <w:szCs w:val="24"/>
          <w:lang w:val="en-ZA"/>
        </w:rPr>
        <w:t xml:space="preserve">: </w:t>
      </w:r>
    </w:p>
    <w:p w:rsidR="00C9430F" w:rsidRPr="00C9430F" w:rsidRDefault="0034204A" w:rsidP="00C9430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The IDC </w:t>
      </w:r>
      <w:r w:rsidR="00B14B69">
        <w:rPr>
          <w:rFonts w:ascii="Arial" w:hAnsi="Arial" w:cs="Arial"/>
          <w:szCs w:val="24"/>
          <w:lang w:val="en-ZA"/>
        </w:rPr>
        <w:t xml:space="preserve">publishes details of its impairments and write-offs in its Annual Reports, details of which are contained on page 76 of the </w:t>
      </w:r>
      <w:r w:rsidR="00697FE6">
        <w:rPr>
          <w:rFonts w:ascii="Arial" w:hAnsi="Arial" w:cs="Arial"/>
          <w:szCs w:val="24"/>
          <w:lang w:val="en-ZA"/>
        </w:rPr>
        <w:t xml:space="preserve">2017/18 Annual Report. </w:t>
      </w:r>
      <w:r w:rsidR="00B14B69">
        <w:rPr>
          <w:rFonts w:ascii="Arial" w:hAnsi="Arial" w:cs="Arial"/>
          <w:szCs w:val="24"/>
          <w:lang w:val="en-ZA"/>
        </w:rPr>
        <w:t xml:space="preserve">For ease of reference, the </w:t>
      </w:r>
      <w:r w:rsidR="00540622">
        <w:rPr>
          <w:rFonts w:ascii="Arial" w:hAnsi="Arial" w:cs="Arial"/>
          <w:szCs w:val="24"/>
          <w:lang w:val="en-ZA"/>
        </w:rPr>
        <w:t xml:space="preserve">information is set out below: </w:t>
      </w:r>
    </w:p>
    <w:tbl>
      <w:tblPr>
        <w:tblW w:w="9016" w:type="dxa"/>
        <w:tblLook w:val="04A0"/>
      </w:tblPr>
      <w:tblGrid>
        <w:gridCol w:w="1098"/>
        <w:gridCol w:w="688"/>
        <w:gridCol w:w="688"/>
        <w:gridCol w:w="599"/>
        <w:gridCol w:w="1747"/>
        <w:gridCol w:w="435"/>
        <w:gridCol w:w="950"/>
        <w:gridCol w:w="950"/>
        <w:gridCol w:w="950"/>
        <w:gridCol w:w="911"/>
      </w:tblGrid>
      <w:tr w:rsidR="00C9430F" w:rsidRPr="00D9069A" w:rsidTr="00882A0D">
        <w:trPr>
          <w:trHeight w:val="37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2013/14</w:t>
            </w:r>
          </w:p>
        </w:tc>
      </w:tr>
      <w:tr w:rsidR="00C9430F" w:rsidRPr="00D9069A" w:rsidTr="00882A0D">
        <w:trPr>
          <w:trHeight w:val="385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Write-offs per annum (net of recoveries)</w:t>
            </w:r>
            <w:r w:rsidR="00FF09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R’million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3 025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430F" w:rsidRPr="00D9069A" w:rsidRDefault="00C9430F" w:rsidP="00882A0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1 329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2 045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1 363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30F" w:rsidRPr="00D9069A" w:rsidRDefault="00C9430F" w:rsidP="00882A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06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520 </w:t>
            </w:r>
          </w:p>
        </w:tc>
      </w:tr>
    </w:tbl>
    <w:p w:rsidR="00C9430F" w:rsidRDefault="00C9430F" w:rsidP="00C9430F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Cs w:val="24"/>
          <w:lang w:val="en-ZA"/>
        </w:rPr>
      </w:pPr>
    </w:p>
    <w:p w:rsidR="00470FA1" w:rsidRDefault="00540622" w:rsidP="00540622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IDC Board sets an impairment threshold of a maximum of 2</w:t>
      </w:r>
      <w:r w:rsidR="00470FA1">
        <w:rPr>
          <w:rFonts w:ascii="Arial" w:hAnsi="Arial" w:cs="Arial"/>
          <w:szCs w:val="22"/>
        </w:rPr>
        <w:t>0% of the value (at cost) of the IDC’s</w:t>
      </w:r>
      <w:r>
        <w:rPr>
          <w:rFonts w:ascii="Arial" w:hAnsi="Arial" w:cs="Arial"/>
          <w:szCs w:val="22"/>
        </w:rPr>
        <w:t xml:space="preserve"> investment portfolio. </w:t>
      </w:r>
      <w:r w:rsidR="00D158FB">
        <w:rPr>
          <w:rFonts w:ascii="Arial" w:hAnsi="Arial" w:cs="Arial"/>
          <w:szCs w:val="22"/>
        </w:rPr>
        <w:t>As of</w:t>
      </w:r>
      <w:r w:rsidR="00914BED">
        <w:rPr>
          <w:rFonts w:ascii="Arial" w:hAnsi="Arial" w:cs="Arial"/>
          <w:szCs w:val="22"/>
        </w:rPr>
        <w:t xml:space="preserve"> the last financial year, </w:t>
      </w:r>
      <w:r w:rsidR="001C7F81">
        <w:rPr>
          <w:rFonts w:ascii="Arial" w:hAnsi="Arial" w:cs="Arial"/>
          <w:szCs w:val="22"/>
        </w:rPr>
        <w:t>impairments</w:t>
      </w:r>
      <w:r w:rsidR="00914BED">
        <w:rPr>
          <w:rFonts w:ascii="Arial" w:hAnsi="Arial" w:cs="Arial"/>
          <w:szCs w:val="22"/>
        </w:rPr>
        <w:t xml:space="preserve"> </w:t>
      </w:r>
      <w:r w:rsidR="00470FA1">
        <w:rPr>
          <w:rFonts w:ascii="Arial" w:hAnsi="Arial" w:cs="Arial"/>
          <w:szCs w:val="22"/>
        </w:rPr>
        <w:t xml:space="preserve">equaled </w:t>
      </w:r>
      <w:r w:rsidR="00914BED">
        <w:rPr>
          <w:rFonts w:ascii="Arial" w:hAnsi="Arial" w:cs="Arial"/>
          <w:szCs w:val="22"/>
        </w:rPr>
        <w:t xml:space="preserve">17,4% of investments measured </w:t>
      </w:r>
      <w:r w:rsidR="00914BED" w:rsidRPr="00470FA1">
        <w:rPr>
          <w:rFonts w:ascii="Arial" w:hAnsi="Arial" w:cs="Arial"/>
          <w:b/>
          <w:szCs w:val="22"/>
        </w:rPr>
        <w:t>at cost</w:t>
      </w:r>
      <w:r w:rsidR="00470FA1">
        <w:rPr>
          <w:rFonts w:ascii="Arial" w:hAnsi="Arial" w:cs="Arial"/>
          <w:szCs w:val="22"/>
        </w:rPr>
        <w:t>, following the accounting standard used by the Corporation</w:t>
      </w:r>
      <w:r w:rsidR="00914BED">
        <w:rPr>
          <w:rFonts w:ascii="Arial" w:hAnsi="Arial" w:cs="Arial"/>
          <w:szCs w:val="22"/>
        </w:rPr>
        <w:t>. However, if measured at market value</w:t>
      </w:r>
      <w:r w:rsidR="00470FA1">
        <w:rPr>
          <w:rFonts w:ascii="Arial" w:hAnsi="Arial" w:cs="Arial"/>
          <w:szCs w:val="22"/>
        </w:rPr>
        <w:t xml:space="preserve">, impairments equal </w:t>
      </w:r>
      <w:r w:rsidR="00914BED">
        <w:rPr>
          <w:rFonts w:ascii="Arial" w:hAnsi="Arial" w:cs="Arial"/>
          <w:szCs w:val="22"/>
        </w:rPr>
        <w:t>10,4% of</w:t>
      </w:r>
      <w:r w:rsidR="00470FA1">
        <w:rPr>
          <w:rFonts w:ascii="Arial" w:hAnsi="Arial" w:cs="Arial"/>
          <w:szCs w:val="22"/>
        </w:rPr>
        <w:t xml:space="preserve"> the current market value of the investment portfolio</w:t>
      </w:r>
      <w:r w:rsidR="00914BED">
        <w:rPr>
          <w:rFonts w:ascii="Arial" w:hAnsi="Arial" w:cs="Arial"/>
          <w:szCs w:val="22"/>
        </w:rPr>
        <w:t xml:space="preserve">. </w:t>
      </w:r>
    </w:p>
    <w:p w:rsidR="00470FA1" w:rsidRDefault="00914BED" w:rsidP="00540622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Over the past </w:t>
      </w:r>
      <w:r w:rsidR="001C7F81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years, the highest level </w:t>
      </w:r>
      <w:r w:rsidR="00470FA1">
        <w:rPr>
          <w:rFonts w:ascii="Arial" w:hAnsi="Arial" w:cs="Arial"/>
          <w:szCs w:val="22"/>
        </w:rPr>
        <w:t xml:space="preserve">of impairment at cost </w:t>
      </w:r>
      <w:r>
        <w:rPr>
          <w:rFonts w:ascii="Arial" w:hAnsi="Arial" w:cs="Arial"/>
          <w:szCs w:val="22"/>
        </w:rPr>
        <w:t>was 18,2%</w:t>
      </w:r>
      <w:r w:rsidR="00470FA1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 in 2014. </w:t>
      </w:r>
    </w:p>
    <w:p w:rsidR="00540622" w:rsidRDefault="00540622" w:rsidP="00540622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function of an impairment threshold is to provide the management with</w:t>
      </w:r>
      <w:r w:rsidR="00914BED">
        <w:rPr>
          <w:rFonts w:ascii="Arial" w:hAnsi="Arial" w:cs="Arial"/>
          <w:szCs w:val="22"/>
        </w:rPr>
        <w:t xml:space="preserve"> the appropriate “risk appetite” that should be followed in approval of projects. </w:t>
      </w:r>
      <w:r>
        <w:rPr>
          <w:rFonts w:ascii="Arial" w:hAnsi="Arial" w:cs="Arial"/>
          <w:szCs w:val="22"/>
        </w:rPr>
        <w:t>:</w:t>
      </w:r>
    </w:p>
    <w:p w:rsidR="00540622" w:rsidRDefault="00540622" w:rsidP="0054062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If the IDC had a</w:t>
      </w:r>
      <w:r w:rsidR="00914BED">
        <w:rPr>
          <w:rFonts w:ascii="Arial" w:hAnsi="Arial" w:cs="Arial"/>
          <w:szCs w:val="22"/>
        </w:rPr>
        <w:t xml:space="preserve"> impairment</w:t>
      </w:r>
      <w:r>
        <w:rPr>
          <w:rFonts w:ascii="Arial" w:hAnsi="Arial" w:cs="Arial"/>
          <w:szCs w:val="22"/>
        </w:rPr>
        <w:t xml:space="preserve"> threshold </w:t>
      </w:r>
      <w:r w:rsidR="00914BED">
        <w:rPr>
          <w:rFonts w:ascii="Arial" w:hAnsi="Arial" w:cs="Arial"/>
          <w:szCs w:val="22"/>
        </w:rPr>
        <w:t xml:space="preserve">target </w:t>
      </w:r>
      <w:r w:rsidR="00470FA1">
        <w:rPr>
          <w:rFonts w:ascii="Arial" w:hAnsi="Arial" w:cs="Arial"/>
          <w:szCs w:val="22"/>
        </w:rPr>
        <w:t xml:space="preserve">that was set too low or at </w:t>
      </w:r>
      <w:r>
        <w:rPr>
          <w:rFonts w:ascii="Arial" w:hAnsi="Arial" w:cs="Arial"/>
          <w:szCs w:val="22"/>
        </w:rPr>
        <w:t>zero, it would</w:t>
      </w:r>
      <w:r w:rsidR="00914BED">
        <w:rPr>
          <w:rFonts w:ascii="Arial" w:hAnsi="Arial" w:cs="Arial"/>
          <w:szCs w:val="22"/>
        </w:rPr>
        <w:t xml:space="preserve"> need to</w:t>
      </w:r>
      <w:r>
        <w:rPr>
          <w:rFonts w:ascii="Arial" w:hAnsi="Arial" w:cs="Arial"/>
          <w:szCs w:val="22"/>
        </w:rPr>
        <w:t xml:space="preserve"> only lend to</w:t>
      </w:r>
      <w:r w:rsidR="008F1D1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or invest in</w:t>
      </w:r>
      <w:r w:rsidR="008F1D1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projects that are guaranteed to succeed, or which are </w:t>
      </w:r>
      <w:r w:rsidR="008F1D1F">
        <w:rPr>
          <w:rFonts w:ascii="Arial" w:hAnsi="Arial" w:cs="Arial"/>
          <w:szCs w:val="22"/>
        </w:rPr>
        <w:t xml:space="preserve">fully </w:t>
      </w:r>
      <w:r>
        <w:rPr>
          <w:rFonts w:ascii="Arial" w:hAnsi="Arial" w:cs="Arial"/>
          <w:szCs w:val="22"/>
        </w:rPr>
        <w:t>covered by security for its investment. The effect of this would be that the IDC would not be able to support many viable projects that carry a degree of risk.</w:t>
      </w:r>
    </w:p>
    <w:p w:rsidR="00540622" w:rsidRDefault="00540622" w:rsidP="0054062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on the other hand the IDC had a risk threshold that was set too high, it is likely to inves</w:t>
      </w:r>
      <w:r w:rsidR="008F1D1F">
        <w:rPr>
          <w:rFonts w:ascii="Arial" w:hAnsi="Arial" w:cs="Arial"/>
          <w:szCs w:val="22"/>
        </w:rPr>
        <w:t>t in many more proj</w:t>
      </w:r>
      <w:r>
        <w:rPr>
          <w:rFonts w:ascii="Arial" w:hAnsi="Arial" w:cs="Arial"/>
          <w:szCs w:val="22"/>
        </w:rPr>
        <w:t>ects</w:t>
      </w:r>
      <w:r w:rsidR="008F1D1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8F1D1F">
        <w:rPr>
          <w:rFonts w:ascii="Arial" w:hAnsi="Arial" w:cs="Arial"/>
          <w:szCs w:val="22"/>
        </w:rPr>
        <w:t>however it</w:t>
      </w:r>
      <w:r>
        <w:rPr>
          <w:rFonts w:ascii="Arial" w:hAnsi="Arial" w:cs="Arial"/>
          <w:szCs w:val="22"/>
        </w:rPr>
        <w:t xml:space="preserve"> </w:t>
      </w:r>
      <w:r w:rsidR="0093334C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also</w:t>
      </w:r>
      <w:r w:rsidR="008F1D1F">
        <w:rPr>
          <w:rFonts w:ascii="Arial" w:hAnsi="Arial" w:cs="Arial"/>
          <w:szCs w:val="22"/>
        </w:rPr>
        <w:t xml:space="preserve"> likely</w:t>
      </w:r>
      <w:r>
        <w:rPr>
          <w:rFonts w:ascii="Arial" w:hAnsi="Arial" w:cs="Arial"/>
          <w:szCs w:val="22"/>
        </w:rPr>
        <w:t xml:space="preserve"> </w:t>
      </w:r>
      <w:r w:rsidR="0093334C">
        <w:rPr>
          <w:rFonts w:ascii="Arial" w:hAnsi="Arial" w:cs="Arial"/>
          <w:szCs w:val="22"/>
        </w:rPr>
        <w:t xml:space="preserve">to </w:t>
      </w:r>
      <w:r>
        <w:rPr>
          <w:rFonts w:ascii="Arial" w:hAnsi="Arial" w:cs="Arial"/>
          <w:szCs w:val="22"/>
        </w:rPr>
        <w:t xml:space="preserve">lose significant sums and eventually </w:t>
      </w:r>
      <w:r w:rsidR="008F1D1F">
        <w:rPr>
          <w:rFonts w:ascii="Arial" w:hAnsi="Arial" w:cs="Arial"/>
          <w:szCs w:val="22"/>
        </w:rPr>
        <w:t>would</w:t>
      </w:r>
      <w:r>
        <w:rPr>
          <w:rFonts w:ascii="Arial" w:hAnsi="Arial" w:cs="Arial"/>
          <w:szCs w:val="22"/>
        </w:rPr>
        <w:t xml:space="preserve"> deplete its capital base and become unsustainable. </w:t>
      </w:r>
    </w:p>
    <w:p w:rsidR="00FB3489" w:rsidRDefault="00540622" w:rsidP="0054062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current impairment level </w:t>
      </w:r>
      <w:r w:rsidR="008F1D1F">
        <w:rPr>
          <w:rFonts w:ascii="Arial" w:hAnsi="Arial" w:cs="Arial"/>
          <w:szCs w:val="22"/>
        </w:rPr>
        <w:t xml:space="preserve">thus </w:t>
      </w:r>
      <w:r>
        <w:rPr>
          <w:rFonts w:ascii="Arial" w:hAnsi="Arial" w:cs="Arial"/>
          <w:szCs w:val="22"/>
        </w:rPr>
        <w:t>seeks to strike a balance and in general is less conservative than</w:t>
      </w:r>
      <w:r w:rsidR="00914BED">
        <w:rPr>
          <w:rFonts w:ascii="Arial" w:hAnsi="Arial" w:cs="Arial"/>
          <w:szCs w:val="22"/>
        </w:rPr>
        <w:t xml:space="preserve"> the ratios and levels that</w:t>
      </w:r>
      <w:r>
        <w:rPr>
          <w:rFonts w:ascii="Arial" w:hAnsi="Arial" w:cs="Arial"/>
          <w:szCs w:val="22"/>
        </w:rPr>
        <w:t xml:space="preserve"> a commercial bank</w:t>
      </w:r>
      <w:r w:rsidR="00914BED">
        <w:rPr>
          <w:rFonts w:ascii="Arial" w:hAnsi="Arial" w:cs="Arial"/>
          <w:szCs w:val="22"/>
        </w:rPr>
        <w:t xml:space="preserve"> would apply</w:t>
      </w:r>
      <w:r>
        <w:rPr>
          <w:rFonts w:ascii="Arial" w:hAnsi="Arial" w:cs="Arial"/>
          <w:szCs w:val="22"/>
        </w:rPr>
        <w:t>, as is necessary for a development finance institution.</w:t>
      </w:r>
    </w:p>
    <w:p w:rsidR="00540622" w:rsidRDefault="009A7DC3" w:rsidP="00FB348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IDC will write off a loan or investment which has be</w:t>
      </w:r>
      <w:r w:rsidR="0093334C">
        <w:rPr>
          <w:rFonts w:ascii="Arial" w:hAnsi="Arial" w:cs="Arial"/>
          <w:szCs w:val="22"/>
        </w:rPr>
        <w:t>en impaired, in whole or part</w:t>
      </w:r>
      <w:r>
        <w:rPr>
          <w:rFonts w:ascii="Arial" w:hAnsi="Arial" w:cs="Arial"/>
          <w:szCs w:val="22"/>
        </w:rPr>
        <w:t>, where the prospects of recovery is remote</w:t>
      </w:r>
      <w:r w:rsidR="00FB3489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taking into consideration any</w:t>
      </w:r>
      <w:r w:rsidR="00FB3489">
        <w:rPr>
          <w:rFonts w:ascii="Arial" w:hAnsi="Arial" w:cs="Arial"/>
          <w:szCs w:val="22"/>
        </w:rPr>
        <w:t xml:space="preserve"> </w:t>
      </w:r>
      <w:r w:rsidR="00FB3489" w:rsidRPr="00FB3489">
        <w:rPr>
          <w:rFonts w:ascii="Arial" w:hAnsi="Arial" w:cs="Arial"/>
          <w:szCs w:val="22"/>
        </w:rPr>
        <w:t xml:space="preserve">security </w:t>
      </w:r>
      <w:r w:rsidR="00FB3489">
        <w:rPr>
          <w:rFonts w:ascii="Arial" w:hAnsi="Arial" w:cs="Arial"/>
          <w:szCs w:val="22"/>
        </w:rPr>
        <w:t>which</w:t>
      </w:r>
      <w:r w:rsidR="00FB3489" w:rsidRPr="00FB3489">
        <w:rPr>
          <w:rFonts w:ascii="Arial" w:hAnsi="Arial" w:cs="Arial"/>
          <w:szCs w:val="22"/>
        </w:rPr>
        <w:t xml:space="preserve"> may reduce the extent of </w:t>
      </w:r>
      <w:r>
        <w:rPr>
          <w:rFonts w:ascii="Arial" w:hAnsi="Arial" w:cs="Arial"/>
          <w:szCs w:val="22"/>
        </w:rPr>
        <w:t xml:space="preserve">the </w:t>
      </w:r>
      <w:r w:rsidR="00FB3489">
        <w:rPr>
          <w:rFonts w:ascii="Arial" w:hAnsi="Arial" w:cs="Arial"/>
          <w:szCs w:val="22"/>
        </w:rPr>
        <w:t xml:space="preserve">potential loss. </w:t>
      </w:r>
      <w:r w:rsidR="00540622">
        <w:rPr>
          <w:rFonts w:ascii="Arial" w:hAnsi="Arial" w:cs="Arial"/>
          <w:szCs w:val="22"/>
        </w:rPr>
        <w:t xml:space="preserve"> </w:t>
      </w:r>
    </w:p>
    <w:p w:rsidR="003A56ED" w:rsidRDefault="003A56ED" w:rsidP="00540622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C748BB" w:rsidRDefault="00C9430F" w:rsidP="00C748B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2"/>
        </w:rPr>
      </w:pPr>
      <w:r w:rsidRPr="00540622">
        <w:rPr>
          <w:rFonts w:ascii="Arial" w:hAnsi="Arial" w:cs="Arial"/>
          <w:szCs w:val="22"/>
        </w:rPr>
        <w:t xml:space="preserve">With respect to the loan amount and details of recipients, </w:t>
      </w:r>
      <w:r w:rsidR="00697FE6" w:rsidRPr="00540622">
        <w:rPr>
          <w:rFonts w:ascii="Arial" w:hAnsi="Arial" w:cs="Arial"/>
          <w:szCs w:val="22"/>
        </w:rPr>
        <w:t xml:space="preserve">the IDC has advised that </w:t>
      </w:r>
      <w:r w:rsidR="0093334C">
        <w:rPr>
          <w:rFonts w:ascii="Arial" w:hAnsi="Arial" w:cs="Arial"/>
          <w:szCs w:val="22"/>
        </w:rPr>
        <w:t>it does not</w:t>
      </w:r>
      <w:r w:rsidRPr="00540622">
        <w:rPr>
          <w:rFonts w:ascii="Arial" w:hAnsi="Arial" w:cs="Arial"/>
          <w:szCs w:val="22"/>
        </w:rPr>
        <w:t xml:space="preserve"> disclose the details thereof as these were approved prior to 1 April 2017</w:t>
      </w:r>
      <w:r w:rsidR="0093334C">
        <w:rPr>
          <w:rFonts w:ascii="Arial" w:hAnsi="Arial" w:cs="Arial"/>
          <w:szCs w:val="22"/>
        </w:rPr>
        <w:t xml:space="preserve">, when </w:t>
      </w:r>
      <w:r w:rsidR="00783216">
        <w:rPr>
          <w:rFonts w:ascii="Arial" w:hAnsi="Arial" w:cs="Arial"/>
          <w:szCs w:val="22"/>
        </w:rPr>
        <w:t xml:space="preserve">a </w:t>
      </w:r>
      <w:r w:rsidR="0093334C">
        <w:rPr>
          <w:rFonts w:ascii="Arial" w:hAnsi="Arial" w:cs="Arial"/>
          <w:szCs w:val="22"/>
        </w:rPr>
        <w:t xml:space="preserve">client </w:t>
      </w:r>
      <w:r w:rsidR="009A7DC3">
        <w:rPr>
          <w:rFonts w:ascii="Arial" w:hAnsi="Arial" w:cs="Arial"/>
          <w:szCs w:val="22"/>
        </w:rPr>
        <w:t xml:space="preserve">confidentiality policy was in place, regarding the companies with which it transacted. Following review, the IDC changed its policy on </w:t>
      </w:r>
      <w:r w:rsidR="0093334C">
        <w:rPr>
          <w:rFonts w:ascii="Arial" w:hAnsi="Arial" w:cs="Arial"/>
          <w:szCs w:val="22"/>
        </w:rPr>
        <w:t xml:space="preserve">client </w:t>
      </w:r>
      <w:r w:rsidR="009A7DC3">
        <w:rPr>
          <w:rFonts w:ascii="Arial" w:hAnsi="Arial" w:cs="Arial"/>
          <w:szCs w:val="22"/>
        </w:rPr>
        <w:t>confidentiality effective from 1 April 2017</w:t>
      </w:r>
      <w:r w:rsidR="00540622" w:rsidRPr="00540622">
        <w:rPr>
          <w:rFonts w:ascii="Arial" w:hAnsi="Arial" w:cs="Arial"/>
          <w:szCs w:val="22"/>
        </w:rPr>
        <w:t>.</w:t>
      </w:r>
    </w:p>
    <w:p w:rsidR="00CF6BD5" w:rsidRDefault="00C748BB" w:rsidP="00C748BB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914BED" w:rsidRDefault="0093334C" w:rsidP="009A7DC3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IDC has</w:t>
      </w:r>
      <w:r w:rsidR="00914BED">
        <w:rPr>
          <w:rFonts w:ascii="Arial" w:hAnsi="Arial" w:cs="Arial"/>
          <w:szCs w:val="22"/>
        </w:rPr>
        <w:t xml:space="preserve"> disclosed in their 2017/18 Annual Report, that the single largest write-off is in respect of SCAW South Africa, a steel and engineering company that the IDC has a majority shareholding in during the period.</w:t>
      </w:r>
    </w:p>
    <w:p w:rsidR="00914BED" w:rsidRDefault="00914BED" w:rsidP="009A7DC3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914BED" w:rsidRDefault="00914BED" w:rsidP="009A7DC3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draw attention to the following comment in the IDC’s </w:t>
      </w:r>
      <w:r w:rsidR="00697FE6" w:rsidRPr="00540622">
        <w:rPr>
          <w:rFonts w:ascii="Arial" w:hAnsi="Arial" w:cs="Arial"/>
          <w:szCs w:val="22"/>
        </w:rPr>
        <w:t>2017/18</w:t>
      </w:r>
      <w:r w:rsidR="003A56ED" w:rsidRPr="00540622">
        <w:rPr>
          <w:rFonts w:ascii="Arial" w:hAnsi="Arial" w:cs="Arial"/>
          <w:szCs w:val="22"/>
        </w:rPr>
        <w:t xml:space="preserve"> Annual Report</w:t>
      </w:r>
      <w:r w:rsidR="00540622" w:rsidRPr="00540622">
        <w:rPr>
          <w:rFonts w:ascii="Arial" w:hAnsi="Arial" w:cs="Arial"/>
          <w:szCs w:val="22"/>
        </w:rPr>
        <w:t xml:space="preserve">, that </w:t>
      </w:r>
      <w:r>
        <w:rPr>
          <w:rFonts w:ascii="Arial" w:hAnsi="Arial" w:cs="Arial"/>
          <w:szCs w:val="22"/>
        </w:rPr>
        <w:t>provides additional information:</w:t>
      </w:r>
    </w:p>
    <w:p w:rsidR="00914BED" w:rsidRPr="00B766D7" w:rsidRDefault="00914BED" w:rsidP="00470F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1A1A1A"/>
          <w:lang w:val="en-ZA" w:eastAsia="en-ZA"/>
        </w:rPr>
      </w:pPr>
      <w:r w:rsidRPr="00B766D7">
        <w:rPr>
          <w:rFonts w:ascii="Arial" w:hAnsi="Arial" w:cs="Arial"/>
          <w:i/>
          <w:color w:val="1A1A1A"/>
          <w:lang w:val="en-ZA" w:eastAsia="en-ZA"/>
        </w:rPr>
        <w:t>“The</w:t>
      </w:r>
      <w:r w:rsidRPr="00B766D7">
        <w:rPr>
          <w:rFonts w:ascii="MyriadPro-Light" w:hAnsi="MyriadPro-Light" w:cs="MyriadPro-Light"/>
          <w:i/>
          <w:color w:val="1A1A1A"/>
          <w:sz w:val="18"/>
          <w:szCs w:val="18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IDC mini-group recorded a R2.8 billion profit (after capital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profits), the same as the previous year. Net interest, dividend and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fee income increased by 35% compared to the previous year.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Increases in operating costs were contained at 1.5%. The cost-to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income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ratio (excluding cash resource income, impairments costs,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and income from mature listed investments) improved to 39%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from 46% in 2017.</w:t>
      </w:r>
    </w:p>
    <w:p w:rsidR="00914BED" w:rsidRPr="00B766D7" w:rsidRDefault="00914BED" w:rsidP="00470FA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1A1A1A"/>
          <w:lang w:val="en-ZA" w:eastAsia="en-ZA"/>
        </w:rPr>
      </w:pPr>
      <w:r w:rsidRPr="00B766D7">
        <w:rPr>
          <w:rFonts w:ascii="Arial" w:hAnsi="Arial" w:cs="Arial"/>
          <w:i/>
          <w:color w:val="1A1A1A"/>
          <w:lang w:val="en-ZA" w:eastAsia="en-ZA"/>
        </w:rPr>
        <w:t>Of concern is impairments and write-offs which more than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doubled from the previous year. This increase was impacted by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Scaw where the introduction of strategic equity partners resulted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in a significant write-off (R1.6 billion) and a R1.8 billion impairment</w:t>
      </w:r>
      <w:r w:rsidR="00470FA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of Foskor facilities. Higher levels of impairments resulted in the ratio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for impairments as a percentage of the portfolio at cost increasing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to 17.4% from 16.7% in the previous year. The interventions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currently underway at these two subsidiaries, which both recorded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losses higher than expected, as well as the establishment of a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dedicated department to monitor and manage subsidiaries and</w:t>
      </w:r>
      <w:r w:rsidR="001C7F81" w:rsidRPr="00B766D7">
        <w:rPr>
          <w:rFonts w:ascii="Arial" w:hAnsi="Arial" w:cs="Arial"/>
          <w:i/>
          <w:color w:val="1A1A1A"/>
          <w:lang w:val="en-ZA" w:eastAsia="en-ZA"/>
        </w:rPr>
        <w:t xml:space="preserve"> </w:t>
      </w:r>
      <w:r w:rsidRPr="00B766D7">
        <w:rPr>
          <w:rFonts w:ascii="Arial" w:hAnsi="Arial" w:cs="Arial"/>
          <w:i/>
          <w:color w:val="1A1A1A"/>
          <w:lang w:val="en-ZA" w:eastAsia="en-ZA"/>
        </w:rPr>
        <w:t>other material investments is expected to address this issue.”</w:t>
      </w:r>
    </w:p>
    <w:p w:rsidR="00B766D7" w:rsidRDefault="00B766D7" w:rsidP="001C7F81">
      <w:pPr>
        <w:spacing w:line="360" w:lineRule="auto"/>
        <w:ind w:left="720"/>
        <w:jc w:val="both"/>
        <w:rPr>
          <w:rFonts w:ascii="Arial" w:hAnsi="Arial" w:cs="Arial"/>
          <w:color w:val="1A1A1A"/>
          <w:sz w:val="22"/>
          <w:lang w:val="en-ZA" w:eastAsia="en-ZA"/>
        </w:rPr>
      </w:pPr>
    </w:p>
    <w:p w:rsidR="00914BED" w:rsidRPr="001C7F81" w:rsidRDefault="00914BED" w:rsidP="001C7F81">
      <w:pPr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1C7F81">
        <w:rPr>
          <w:rFonts w:ascii="Arial" w:hAnsi="Arial" w:cs="Arial"/>
          <w:color w:val="1A1A1A"/>
          <w:sz w:val="22"/>
          <w:lang w:val="en-ZA" w:eastAsia="en-ZA"/>
        </w:rPr>
        <w:t>Source: IDC Annual Report, 2017/18</w:t>
      </w:r>
    </w:p>
    <w:p w:rsidR="00914BED" w:rsidRDefault="00914BED" w:rsidP="009A7DC3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C9430F" w:rsidRPr="00C9430F" w:rsidRDefault="00C9430F" w:rsidP="00C9430F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p w:rsidR="00D917B0" w:rsidRDefault="00D917B0" w:rsidP="001C37E8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p w:rsidR="001C37E8" w:rsidRPr="00CE35D3" w:rsidRDefault="00CE35D3" w:rsidP="00CE35D3">
      <w:pPr>
        <w:pStyle w:val="Body1"/>
        <w:spacing w:line="360" w:lineRule="auto"/>
        <w:jc w:val="center"/>
        <w:rPr>
          <w:rFonts w:ascii="Arial" w:hAnsi="Arial"/>
          <w:b/>
          <w:szCs w:val="24"/>
        </w:rPr>
      </w:pPr>
      <w:r w:rsidRPr="00CE35D3">
        <w:rPr>
          <w:rFonts w:ascii="Arial" w:hAnsi="Arial"/>
          <w:b/>
          <w:szCs w:val="24"/>
        </w:rPr>
        <w:t>-END-</w:t>
      </w:r>
    </w:p>
    <w:p w:rsidR="002678AD" w:rsidRPr="001C37E8" w:rsidRDefault="002678AD" w:rsidP="001C37E8">
      <w:pPr>
        <w:rPr>
          <w:rFonts w:ascii="Arial" w:hAnsi="Arial" w:cs="Arial"/>
          <w:lang w:val="en-ZA" w:eastAsia="en-ZA"/>
        </w:rPr>
      </w:pPr>
    </w:p>
    <w:sectPr w:rsidR="002678AD" w:rsidRPr="001C37E8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B6" w:rsidRDefault="00F321B6">
      <w:r>
        <w:separator/>
      </w:r>
    </w:p>
  </w:endnote>
  <w:endnote w:type="continuationSeparator" w:id="0">
    <w:p w:rsidR="00F321B6" w:rsidRDefault="00F3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F321B6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C9430F">
      <w:rPr>
        <w:rFonts w:ascii="Arial" w:hAnsi="Arial" w:cs="Arial"/>
        <w:sz w:val="16"/>
        <w:szCs w:val="16"/>
      </w:rPr>
      <w:t xml:space="preserve">n No 2706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B6" w:rsidRDefault="00F321B6">
      <w:r>
        <w:separator/>
      </w:r>
    </w:p>
  </w:footnote>
  <w:footnote w:type="continuationSeparator" w:id="0">
    <w:p w:rsidR="00F321B6" w:rsidRDefault="00F3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5E7"/>
    <w:multiLevelType w:val="hybridMultilevel"/>
    <w:tmpl w:val="57720776"/>
    <w:lvl w:ilvl="0" w:tplc="006A1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4D1"/>
    <w:multiLevelType w:val="hybridMultilevel"/>
    <w:tmpl w:val="DF7084FE"/>
    <w:lvl w:ilvl="0" w:tplc="150E4300">
      <w:start w:val="2"/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C290B7F"/>
    <w:multiLevelType w:val="hybridMultilevel"/>
    <w:tmpl w:val="B38CA6A4"/>
    <w:lvl w:ilvl="0" w:tplc="83EEA7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F6CD5"/>
    <w:multiLevelType w:val="hybridMultilevel"/>
    <w:tmpl w:val="0864487C"/>
    <w:lvl w:ilvl="0" w:tplc="4C001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63476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4FCD"/>
    <w:rsid w:val="00127B35"/>
    <w:rsid w:val="00135E7C"/>
    <w:rsid w:val="00136F0B"/>
    <w:rsid w:val="00140EE5"/>
    <w:rsid w:val="00143692"/>
    <w:rsid w:val="00146CB1"/>
    <w:rsid w:val="00160C82"/>
    <w:rsid w:val="00164373"/>
    <w:rsid w:val="0016738D"/>
    <w:rsid w:val="001701CC"/>
    <w:rsid w:val="001819B5"/>
    <w:rsid w:val="00182F3E"/>
    <w:rsid w:val="00183543"/>
    <w:rsid w:val="00187F72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C7F81"/>
    <w:rsid w:val="001D2724"/>
    <w:rsid w:val="001D7203"/>
    <w:rsid w:val="001E0A07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349"/>
    <w:rsid w:val="002D6A22"/>
    <w:rsid w:val="002D6FDD"/>
    <w:rsid w:val="002E3DE1"/>
    <w:rsid w:val="002E44E0"/>
    <w:rsid w:val="002E69ED"/>
    <w:rsid w:val="002F47B8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204A"/>
    <w:rsid w:val="003441DC"/>
    <w:rsid w:val="00347242"/>
    <w:rsid w:val="003507B0"/>
    <w:rsid w:val="0036322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A56ED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70FA1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622"/>
    <w:rsid w:val="00540E36"/>
    <w:rsid w:val="00544AAC"/>
    <w:rsid w:val="00547320"/>
    <w:rsid w:val="00547607"/>
    <w:rsid w:val="00550491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5345"/>
    <w:rsid w:val="0058768E"/>
    <w:rsid w:val="005926F4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4FB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17E3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97FE6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51C23"/>
    <w:rsid w:val="007608B9"/>
    <w:rsid w:val="00766298"/>
    <w:rsid w:val="00771CA7"/>
    <w:rsid w:val="00773C77"/>
    <w:rsid w:val="007751D8"/>
    <w:rsid w:val="00777937"/>
    <w:rsid w:val="007807BB"/>
    <w:rsid w:val="0078144A"/>
    <w:rsid w:val="007829B3"/>
    <w:rsid w:val="00783216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82A0D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1D1F"/>
    <w:rsid w:val="008F3A69"/>
    <w:rsid w:val="008F3C02"/>
    <w:rsid w:val="008F3D97"/>
    <w:rsid w:val="008F484F"/>
    <w:rsid w:val="008F7AA9"/>
    <w:rsid w:val="0090096B"/>
    <w:rsid w:val="00906561"/>
    <w:rsid w:val="00907713"/>
    <w:rsid w:val="00914BED"/>
    <w:rsid w:val="00916DF9"/>
    <w:rsid w:val="00923FBE"/>
    <w:rsid w:val="00924717"/>
    <w:rsid w:val="0092515E"/>
    <w:rsid w:val="00926AFA"/>
    <w:rsid w:val="009319A8"/>
    <w:rsid w:val="00931C23"/>
    <w:rsid w:val="0093334C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847FB"/>
    <w:rsid w:val="009A03C3"/>
    <w:rsid w:val="009A3531"/>
    <w:rsid w:val="009A7DC3"/>
    <w:rsid w:val="009B0497"/>
    <w:rsid w:val="009B27E1"/>
    <w:rsid w:val="009B3279"/>
    <w:rsid w:val="009B60C1"/>
    <w:rsid w:val="009B7CBD"/>
    <w:rsid w:val="009D0DC4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4ADA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2F59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36F"/>
    <w:rsid w:val="00B06F7E"/>
    <w:rsid w:val="00B11748"/>
    <w:rsid w:val="00B12BC7"/>
    <w:rsid w:val="00B14B69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766D7"/>
    <w:rsid w:val="00B80F96"/>
    <w:rsid w:val="00B81006"/>
    <w:rsid w:val="00B82479"/>
    <w:rsid w:val="00B87B41"/>
    <w:rsid w:val="00B94C08"/>
    <w:rsid w:val="00BA59F0"/>
    <w:rsid w:val="00BA7991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52F5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748BB"/>
    <w:rsid w:val="00C878E1"/>
    <w:rsid w:val="00C90072"/>
    <w:rsid w:val="00C90621"/>
    <w:rsid w:val="00C91E31"/>
    <w:rsid w:val="00C92077"/>
    <w:rsid w:val="00C934C8"/>
    <w:rsid w:val="00C9430F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834"/>
    <w:rsid w:val="00CD3F59"/>
    <w:rsid w:val="00CD5069"/>
    <w:rsid w:val="00CE17E4"/>
    <w:rsid w:val="00CE35D3"/>
    <w:rsid w:val="00CE51A7"/>
    <w:rsid w:val="00CE65E5"/>
    <w:rsid w:val="00CF107D"/>
    <w:rsid w:val="00CF5DD1"/>
    <w:rsid w:val="00CF6BD5"/>
    <w:rsid w:val="00D041C7"/>
    <w:rsid w:val="00D0540F"/>
    <w:rsid w:val="00D105F7"/>
    <w:rsid w:val="00D10925"/>
    <w:rsid w:val="00D13572"/>
    <w:rsid w:val="00D13AFE"/>
    <w:rsid w:val="00D15617"/>
    <w:rsid w:val="00D158FB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1B6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4D29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489"/>
    <w:rsid w:val="00FB3524"/>
    <w:rsid w:val="00FB7848"/>
    <w:rsid w:val="00FC1D3C"/>
    <w:rsid w:val="00FD45B4"/>
    <w:rsid w:val="00FD4A95"/>
    <w:rsid w:val="00FD5347"/>
    <w:rsid w:val="00FD5696"/>
    <w:rsid w:val="00FD60DD"/>
    <w:rsid w:val="00FD6EBA"/>
    <w:rsid w:val="00FE3B22"/>
    <w:rsid w:val="00FE4467"/>
    <w:rsid w:val="00FE68B0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character" w:styleId="Hyperlink">
    <w:name w:val="Hyperlink"/>
    <w:locked/>
    <w:rsid w:val="00CF6B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AEE7-EFD9-49BC-A031-6326BC52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2018-10-05T13:19:00Z</cp:lastPrinted>
  <dcterms:created xsi:type="dcterms:W3CDTF">2018-10-22T12:39:00Z</dcterms:created>
  <dcterms:modified xsi:type="dcterms:W3CDTF">2018-10-22T12:39:00Z</dcterms:modified>
</cp:coreProperties>
</file>